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2DA1" w14:textId="77777777" w:rsidR="00830A2D" w:rsidRPr="00830A2D" w:rsidRDefault="00830A2D" w:rsidP="00830A2D">
      <w:pPr>
        <w:pStyle w:val="DocTitle"/>
        <w:rPr>
          <w:sz w:val="36"/>
          <w:szCs w:val="36"/>
        </w:rPr>
      </w:pPr>
      <w:bookmarkStart w:id="0" w:name="_GoBack"/>
      <w:bookmarkEnd w:id="0"/>
      <w:r w:rsidRPr="00830A2D">
        <w:rPr>
          <w:sz w:val="36"/>
          <w:szCs w:val="36"/>
        </w:rPr>
        <w:t>Consortium for Assessment of College Equivalence (CACE)</w:t>
      </w:r>
    </w:p>
    <w:p w14:paraId="16A49626" w14:textId="3E8EC546" w:rsidR="00071D51" w:rsidRDefault="00071D51" w:rsidP="009969AE">
      <w:pPr>
        <w:pStyle w:val="DocTitle"/>
        <w:rPr>
          <w:sz w:val="36"/>
          <w:szCs w:val="36"/>
        </w:rPr>
      </w:pPr>
      <w:r w:rsidRPr="00830A2D">
        <w:rPr>
          <w:sz w:val="36"/>
          <w:szCs w:val="36"/>
        </w:rPr>
        <w:t xml:space="preserve">Standards for </w:t>
      </w:r>
      <w:r w:rsidR="00830A2D">
        <w:rPr>
          <w:sz w:val="36"/>
          <w:szCs w:val="36"/>
        </w:rPr>
        <w:t xml:space="preserve">the </w:t>
      </w:r>
      <w:r w:rsidRPr="00830A2D">
        <w:rPr>
          <w:sz w:val="36"/>
          <w:szCs w:val="36"/>
        </w:rPr>
        <w:t xml:space="preserve">Assessment of </w:t>
      </w:r>
      <w:r w:rsidR="004953F8">
        <w:rPr>
          <w:sz w:val="36"/>
          <w:szCs w:val="36"/>
        </w:rPr>
        <w:t>Non-Collegiate Instruction</w:t>
      </w:r>
    </w:p>
    <w:p w14:paraId="7EE0BC35" w14:textId="4CC93787" w:rsidR="00830A2D" w:rsidRPr="00403415" w:rsidRDefault="00403415" w:rsidP="00403415">
      <w:pPr>
        <w:pStyle w:val="DocTitle"/>
        <w:tabs>
          <w:tab w:val="left" w:pos="3418"/>
          <w:tab w:val="center" w:pos="4680"/>
        </w:tabs>
        <w:jc w:val="left"/>
        <w:rPr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  <w:r w:rsidR="00830A2D" w:rsidRPr="00403415">
        <w:rPr>
          <w:i/>
          <w:sz w:val="24"/>
          <w:szCs w:val="24"/>
        </w:rPr>
        <w:t xml:space="preserve">Adopted </w:t>
      </w:r>
      <w:r w:rsidR="00B236D5" w:rsidRPr="00403415">
        <w:rPr>
          <w:i/>
          <w:sz w:val="24"/>
          <w:szCs w:val="24"/>
        </w:rPr>
        <w:t>July 21, 2015</w:t>
      </w:r>
    </w:p>
    <w:p w14:paraId="60DB85E5" w14:textId="77777777" w:rsidR="00C1458B" w:rsidRPr="00071D51" w:rsidRDefault="00C1458B" w:rsidP="00BF3986">
      <w:pPr>
        <w:pStyle w:val="DocTitle"/>
      </w:pPr>
    </w:p>
    <w:p w14:paraId="60AC8578" w14:textId="66FD53A7" w:rsidR="00BF3986" w:rsidRDefault="00BC2D1F" w:rsidP="00D05B20">
      <w:pPr>
        <w:pStyle w:val="SectionHeading"/>
      </w:pPr>
      <w:r w:rsidRPr="00BC2D1F">
        <w:t xml:space="preserve">College Credit for </w:t>
      </w:r>
      <w:r w:rsidR="004953F8">
        <w:t>Non-Collegiate Instruction</w:t>
      </w:r>
      <w:r w:rsidRPr="00BC2D1F">
        <w:t>: The Beginnings</w:t>
      </w:r>
    </w:p>
    <w:p w14:paraId="55894048" w14:textId="131D46DF" w:rsidR="00BF3986" w:rsidRDefault="00BC2D1F" w:rsidP="00BC2D1F">
      <w:pPr>
        <w:rPr>
          <w:rFonts w:eastAsia="Times New Roman" w:cs="Times New Roman"/>
        </w:rPr>
      </w:pPr>
      <w:r w:rsidRPr="00BC2D1F">
        <w:rPr>
          <w:rFonts w:eastAsia="Times New Roman" w:cs="Times New Roman"/>
        </w:rPr>
        <w:t xml:space="preserve">Ever since the American Council on Education began evaluating military training for college-level equivalence following World War II, the awarding of credit for </w:t>
      </w:r>
      <w:r w:rsidR="004953F8">
        <w:rPr>
          <w:rFonts w:eastAsia="Times New Roman" w:cs="Times New Roman"/>
        </w:rPr>
        <w:t>Non-Collegiate Instruction</w:t>
      </w:r>
      <w:r w:rsidR="00407323" w:rsidRPr="00BC2D1F">
        <w:rPr>
          <w:rFonts w:eastAsia="Times New Roman" w:cs="Times New Roman"/>
        </w:rPr>
        <w:t xml:space="preserve"> </w:t>
      </w:r>
      <w:r w:rsidRPr="00BC2D1F">
        <w:rPr>
          <w:rFonts w:eastAsia="Times New Roman" w:cs="Times New Roman"/>
        </w:rPr>
        <w:t>has been a cornerstone of higher education programs serving ad</w:t>
      </w:r>
      <w:r w:rsidR="00830A2D">
        <w:rPr>
          <w:rFonts w:eastAsia="Times New Roman" w:cs="Times New Roman"/>
        </w:rPr>
        <w:t xml:space="preserve">ults. </w:t>
      </w:r>
      <w:r w:rsidR="00407323">
        <w:rPr>
          <w:rFonts w:eastAsia="Times New Roman" w:cs="Times New Roman"/>
        </w:rPr>
        <w:t>“</w:t>
      </w:r>
      <w:r w:rsidR="004953F8">
        <w:rPr>
          <w:rFonts w:eastAsia="Times New Roman" w:cs="Times New Roman"/>
        </w:rPr>
        <w:t>Non-Collegiate Instruction</w:t>
      </w:r>
      <w:r w:rsidR="00407323">
        <w:rPr>
          <w:rFonts w:eastAsia="Times New Roman" w:cs="Times New Roman"/>
        </w:rPr>
        <w:t>”</w:t>
      </w:r>
      <w:r w:rsidR="003822E0">
        <w:rPr>
          <w:rFonts w:eastAsia="Times New Roman" w:cs="Times New Roman"/>
        </w:rPr>
        <w:t xml:space="preserve"> is</w:t>
      </w:r>
      <w:r w:rsidR="00F767DA">
        <w:rPr>
          <w:rFonts w:eastAsia="Times New Roman" w:cs="Times New Roman"/>
        </w:rPr>
        <w:t xml:space="preserve"> defined as</w:t>
      </w:r>
      <w:r w:rsidR="003822E0">
        <w:rPr>
          <w:rFonts w:eastAsia="Times New Roman" w:cs="Times New Roman"/>
        </w:rPr>
        <w:t xml:space="preserve"> organized, structured</w:t>
      </w:r>
      <w:r w:rsidR="009E43CF">
        <w:rPr>
          <w:rFonts w:eastAsia="Times New Roman" w:cs="Times New Roman"/>
        </w:rPr>
        <w:t xml:space="preserve"> </w:t>
      </w:r>
      <w:r w:rsidR="003822E0">
        <w:rPr>
          <w:rFonts w:eastAsia="Times New Roman" w:cs="Times New Roman"/>
        </w:rPr>
        <w:t xml:space="preserve">learning experiences </w:t>
      </w:r>
      <w:r w:rsidR="00407323">
        <w:rPr>
          <w:rFonts w:eastAsia="Times New Roman" w:cs="Times New Roman"/>
        </w:rPr>
        <w:t>not sponsored</w:t>
      </w:r>
      <w:r w:rsidR="003822E0">
        <w:rPr>
          <w:rFonts w:eastAsia="Times New Roman" w:cs="Times New Roman"/>
        </w:rPr>
        <w:t xml:space="preserve"> </w:t>
      </w:r>
      <w:r w:rsidR="00830A2D">
        <w:rPr>
          <w:rFonts w:eastAsia="Times New Roman" w:cs="Times New Roman"/>
        </w:rPr>
        <w:t xml:space="preserve">for credit </w:t>
      </w:r>
      <w:r w:rsidR="003822E0">
        <w:rPr>
          <w:rFonts w:eastAsia="Times New Roman" w:cs="Times New Roman"/>
        </w:rPr>
        <w:t>by an accredited college or university</w:t>
      </w:r>
      <w:r w:rsidR="004953F8">
        <w:rPr>
          <w:rFonts w:eastAsia="Times New Roman" w:cs="Times New Roman"/>
        </w:rPr>
        <w:t xml:space="preserve">. </w:t>
      </w:r>
      <w:r w:rsidRPr="00BC2D1F">
        <w:rPr>
          <w:rFonts w:eastAsia="Times New Roman" w:cs="Times New Roman"/>
        </w:rPr>
        <w:t>With Malcolm Knowles' championing of adult learning theory</w:t>
      </w:r>
      <w:r w:rsidR="002E1DEF">
        <w:rPr>
          <w:rFonts w:eastAsia="Times New Roman" w:cs="Times New Roman"/>
        </w:rPr>
        <w:t xml:space="preserve"> i</w:t>
      </w:r>
      <w:r w:rsidRPr="00BC2D1F">
        <w:rPr>
          <w:rFonts w:eastAsia="Times New Roman" w:cs="Times New Roman"/>
        </w:rPr>
        <w:t xml:space="preserve">n the 1970s, colleges were established to meet the specific needs of adult learners, including </w:t>
      </w:r>
      <w:r w:rsidR="00407323">
        <w:rPr>
          <w:rFonts w:eastAsia="Times New Roman" w:cs="Times New Roman"/>
        </w:rPr>
        <w:t xml:space="preserve">the </w:t>
      </w:r>
      <w:r w:rsidR="00A51159">
        <w:rPr>
          <w:rFonts w:eastAsia="Times New Roman" w:cs="Times New Roman"/>
        </w:rPr>
        <w:t>Community College of Vermont</w:t>
      </w:r>
      <w:r w:rsidR="00A51159" w:rsidRPr="00407323">
        <w:rPr>
          <w:rFonts w:eastAsia="Times New Roman" w:cs="Times New Roman"/>
        </w:rPr>
        <w:t xml:space="preserve"> </w:t>
      </w:r>
      <w:r w:rsidR="00A51159">
        <w:rPr>
          <w:rFonts w:eastAsia="Times New Roman" w:cs="Times New Roman"/>
        </w:rPr>
        <w:t>(</w:t>
      </w:r>
      <w:r w:rsidR="00E13C59">
        <w:rPr>
          <w:rFonts w:eastAsia="Times New Roman" w:cs="Times New Roman"/>
        </w:rPr>
        <w:t>formerly</w:t>
      </w:r>
      <w:r w:rsidR="00A51159">
        <w:rPr>
          <w:rFonts w:eastAsia="Times New Roman" w:cs="Times New Roman"/>
        </w:rPr>
        <w:t xml:space="preserve"> the </w:t>
      </w:r>
      <w:r w:rsidR="00407323" w:rsidRPr="00407323">
        <w:rPr>
          <w:rFonts w:eastAsia="Times New Roman" w:cs="Times New Roman"/>
        </w:rPr>
        <w:t>Vermont Regional Community College Commission</w:t>
      </w:r>
      <w:r w:rsidR="00407323">
        <w:rPr>
          <w:rFonts w:eastAsia="Times New Roman" w:cs="Times New Roman"/>
        </w:rPr>
        <w:t xml:space="preserve">) in 1970, </w:t>
      </w:r>
      <w:r w:rsidR="002E1DEF">
        <w:rPr>
          <w:rFonts w:eastAsia="Times New Roman" w:cs="Times New Roman"/>
        </w:rPr>
        <w:t xml:space="preserve">SUNY </w:t>
      </w:r>
      <w:r w:rsidR="003822E0">
        <w:rPr>
          <w:rFonts w:eastAsia="Times New Roman" w:cs="Times New Roman"/>
        </w:rPr>
        <w:t>Empire</w:t>
      </w:r>
      <w:r w:rsidRPr="00BC2D1F">
        <w:rPr>
          <w:rFonts w:eastAsia="Times New Roman" w:cs="Times New Roman"/>
        </w:rPr>
        <w:t xml:space="preserve"> State College and </w:t>
      </w:r>
      <w:r w:rsidR="00A51159" w:rsidRPr="00BC2D1F">
        <w:rPr>
          <w:rFonts w:eastAsia="Times New Roman" w:cs="Times New Roman"/>
        </w:rPr>
        <w:t xml:space="preserve">Excelsior College </w:t>
      </w:r>
      <w:r w:rsidRPr="00BC2D1F">
        <w:rPr>
          <w:rFonts w:eastAsia="Times New Roman" w:cs="Times New Roman"/>
        </w:rPr>
        <w:t>(</w:t>
      </w:r>
      <w:r w:rsidR="00E13C59">
        <w:rPr>
          <w:rFonts w:eastAsia="Times New Roman" w:cs="Times New Roman"/>
        </w:rPr>
        <w:t>formerly</w:t>
      </w:r>
      <w:r w:rsidR="00A51159">
        <w:rPr>
          <w:rFonts w:eastAsia="Times New Roman" w:cs="Times New Roman"/>
        </w:rPr>
        <w:t xml:space="preserve"> </w:t>
      </w:r>
      <w:r w:rsidR="00A51159" w:rsidRPr="00BC2D1F">
        <w:rPr>
          <w:rFonts w:eastAsia="Times New Roman" w:cs="Times New Roman"/>
        </w:rPr>
        <w:t xml:space="preserve">Regents College </w:t>
      </w:r>
      <w:r w:rsidRPr="00BC2D1F">
        <w:rPr>
          <w:rFonts w:eastAsia="Times New Roman" w:cs="Times New Roman"/>
        </w:rPr>
        <w:t xml:space="preserve">) in 1971, Thomas Edison State College and </w:t>
      </w:r>
      <w:r w:rsidR="00A51159" w:rsidRPr="00BC2D1F">
        <w:rPr>
          <w:rFonts w:eastAsia="Times New Roman" w:cs="Times New Roman"/>
        </w:rPr>
        <w:t xml:space="preserve">Granite State College </w:t>
      </w:r>
      <w:r w:rsidR="00A51159">
        <w:rPr>
          <w:rFonts w:eastAsia="Times New Roman" w:cs="Times New Roman"/>
        </w:rPr>
        <w:t>(</w:t>
      </w:r>
      <w:r w:rsidR="00E13C59">
        <w:rPr>
          <w:rFonts w:eastAsia="Times New Roman" w:cs="Times New Roman"/>
        </w:rPr>
        <w:t>formerly</w:t>
      </w:r>
      <w:r w:rsidR="00A51159">
        <w:rPr>
          <w:rFonts w:eastAsia="Times New Roman" w:cs="Times New Roman"/>
        </w:rPr>
        <w:t xml:space="preserve"> </w:t>
      </w:r>
      <w:r w:rsidRPr="00BC2D1F">
        <w:rPr>
          <w:rFonts w:eastAsia="Times New Roman" w:cs="Times New Roman"/>
        </w:rPr>
        <w:t xml:space="preserve">the School for Lifelong Learning ) in 1972, and </w:t>
      </w:r>
      <w:r w:rsidR="00A51159" w:rsidRPr="00BC2D1F">
        <w:rPr>
          <w:rFonts w:eastAsia="Times New Roman" w:cs="Times New Roman"/>
        </w:rPr>
        <w:t xml:space="preserve">Charter Oak </w:t>
      </w:r>
      <w:r w:rsidR="00A51159">
        <w:rPr>
          <w:rFonts w:eastAsia="Times New Roman" w:cs="Times New Roman"/>
        </w:rPr>
        <w:t xml:space="preserve">State </w:t>
      </w:r>
      <w:r w:rsidR="00A51159" w:rsidRPr="00BC2D1F">
        <w:rPr>
          <w:rFonts w:eastAsia="Times New Roman" w:cs="Times New Roman"/>
        </w:rPr>
        <w:t>College</w:t>
      </w:r>
      <w:r w:rsidR="00A51159">
        <w:rPr>
          <w:rFonts w:eastAsia="Times New Roman" w:cs="Times New Roman"/>
        </w:rPr>
        <w:t xml:space="preserve"> (</w:t>
      </w:r>
      <w:r w:rsidR="00E13C59">
        <w:rPr>
          <w:rFonts w:eastAsia="Times New Roman" w:cs="Times New Roman"/>
        </w:rPr>
        <w:t>formerly</w:t>
      </w:r>
      <w:r w:rsidR="00A51159">
        <w:rPr>
          <w:rFonts w:eastAsia="Times New Roman" w:cs="Times New Roman"/>
        </w:rPr>
        <w:t xml:space="preserve"> </w:t>
      </w:r>
      <w:r w:rsidR="0002746E">
        <w:rPr>
          <w:rFonts w:eastAsia="Times New Roman" w:cs="Times New Roman"/>
        </w:rPr>
        <w:t xml:space="preserve">the </w:t>
      </w:r>
      <w:r w:rsidR="007A083A">
        <w:rPr>
          <w:rFonts w:eastAsia="Times New Roman" w:cs="Times New Roman"/>
        </w:rPr>
        <w:t>Board for State Academic Awards</w:t>
      </w:r>
      <w:r w:rsidR="0002746E">
        <w:rPr>
          <w:rFonts w:eastAsia="Times New Roman" w:cs="Times New Roman"/>
        </w:rPr>
        <w:t>)</w:t>
      </w:r>
      <w:r w:rsidRPr="00BC2D1F">
        <w:rPr>
          <w:rFonts w:eastAsia="Times New Roman" w:cs="Times New Roman"/>
        </w:rPr>
        <w:t xml:space="preserve"> in 1973, among others.</w:t>
      </w:r>
    </w:p>
    <w:p w14:paraId="3499614E" w14:textId="791BF692" w:rsidR="00BF3986" w:rsidRDefault="00BC2D1F" w:rsidP="00BC2D1F">
      <w:pPr>
        <w:rPr>
          <w:rFonts w:eastAsia="Times New Roman" w:cs="Times New Roman"/>
        </w:rPr>
      </w:pPr>
      <w:r w:rsidRPr="00BC2D1F">
        <w:rPr>
          <w:rFonts w:eastAsia="Times New Roman" w:cs="Times New Roman"/>
        </w:rPr>
        <w:t xml:space="preserve">In keeping with the principles of adult learning theory, these burgeoning adult-centered colleges recognized that college-level learning </w:t>
      </w:r>
      <w:r w:rsidR="009E43CF">
        <w:rPr>
          <w:rFonts w:eastAsia="Times New Roman" w:cs="Times New Roman"/>
        </w:rPr>
        <w:t xml:space="preserve">can </w:t>
      </w:r>
      <w:r w:rsidRPr="00BC2D1F">
        <w:rPr>
          <w:rFonts w:eastAsia="Times New Roman" w:cs="Times New Roman"/>
        </w:rPr>
        <w:t xml:space="preserve">take place outside of the </w:t>
      </w:r>
      <w:r w:rsidR="0002746E">
        <w:rPr>
          <w:rFonts w:eastAsia="Times New Roman" w:cs="Times New Roman"/>
        </w:rPr>
        <w:t xml:space="preserve">traditional </w:t>
      </w:r>
      <w:r w:rsidRPr="00BC2D1F">
        <w:rPr>
          <w:rFonts w:eastAsia="Times New Roman" w:cs="Times New Roman"/>
        </w:rPr>
        <w:t>college classroom</w:t>
      </w:r>
      <w:r w:rsidR="000005D3">
        <w:rPr>
          <w:rFonts w:eastAsia="Times New Roman" w:cs="Times New Roman"/>
        </w:rPr>
        <w:t xml:space="preserve"> and this learning could be assessed for college-level credits</w:t>
      </w:r>
      <w:r w:rsidR="004953F8">
        <w:rPr>
          <w:rFonts w:eastAsia="Times New Roman" w:cs="Times New Roman"/>
        </w:rPr>
        <w:t xml:space="preserve">. </w:t>
      </w:r>
      <w:r w:rsidR="000005D3">
        <w:rPr>
          <w:rFonts w:eastAsia="Times New Roman" w:cs="Times New Roman"/>
        </w:rPr>
        <w:t>O</w:t>
      </w:r>
      <w:r w:rsidR="00642416">
        <w:rPr>
          <w:rFonts w:eastAsia="Times New Roman" w:cs="Times New Roman"/>
        </w:rPr>
        <w:t xml:space="preserve">ne </w:t>
      </w:r>
      <w:r w:rsidR="00B37A8D">
        <w:rPr>
          <w:rFonts w:eastAsia="Times New Roman" w:cs="Times New Roman"/>
        </w:rPr>
        <w:t xml:space="preserve">of the </w:t>
      </w:r>
      <w:r w:rsidR="00642416">
        <w:rPr>
          <w:rFonts w:eastAsia="Times New Roman" w:cs="Times New Roman"/>
        </w:rPr>
        <w:t>strateg</w:t>
      </w:r>
      <w:r w:rsidR="00B37A8D">
        <w:rPr>
          <w:rFonts w:eastAsia="Times New Roman" w:cs="Times New Roman"/>
        </w:rPr>
        <w:t>ies that</w:t>
      </w:r>
      <w:r w:rsidR="00642416">
        <w:rPr>
          <w:rFonts w:eastAsia="Times New Roman" w:cs="Times New Roman"/>
        </w:rPr>
        <w:t xml:space="preserve"> </w:t>
      </w:r>
      <w:r w:rsidR="000005D3">
        <w:rPr>
          <w:rFonts w:eastAsia="Times New Roman" w:cs="Times New Roman"/>
        </w:rPr>
        <w:t>these colleges</w:t>
      </w:r>
      <w:r w:rsidRPr="00BC2D1F">
        <w:rPr>
          <w:rFonts w:eastAsia="Times New Roman" w:cs="Times New Roman"/>
        </w:rPr>
        <w:t xml:space="preserve"> put </w:t>
      </w:r>
      <w:r w:rsidR="000005D3">
        <w:rPr>
          <w:rFonts w:eastAsia="Times New Roman" w:cs="Times New Roman"/>
        </w:rPr>
        <w:t xml:space="preserve">into </w:t>
      </w:r>
      <w:r w:rsidRPr="00BC2D1F">
        <w:rPr>
          <w:rFonts w:eastAsia="Times New Roman" w:cs="Times New Roman"/>
        </w:rPr>
        <w:t xml:space="preserve">place </w:t>
      </w:r>
      <w:r w:rsidR="000005D3">
        <w:rPr>
          <w:rFonts w:eastAsia="Times New Roman" w:cs="Times New Roman"/>
        </w:rPr>
        <w:t xml:space="preserve">was </w:t>
      </w:r>
      <w:r w:rsidR="00D6567F">
        <w:rPr>
          <w:rFonts w:eastAsia="Times New Roman" w:cs="Times New Roman"/>
        </w:rPr>
        <w:t>the</w:t>
      </w:r>
      <w:r w:rsidR="00D6567F" w:rsidRPr="00BC2D1F">
        <w:rPr>
          <w:rFonts w:eastAsia="Times New Roman" w:cs="Times New Roman"/>
        </w:rPr>
        <w:t xml:space="preserve"> </w:t>
      </w:r>
      <w:r w:rsidRPr="00BC2D1F">
        <w:rPr>
          <w:rFonts w:eastAsia="Times New Roman" w:cs="Times New Roman"/>
        </w:rPr>
        <w:t xml:space="preserve">award </w:t>
      </w:r>
      <w:r w:rsidR="00D6567F">
        <w:rPr>
          <w:rFonts w:eastAsia="Times New Roman" w:cs="Times New Roman"/>
        </w:rPr>
        <w:t xml:space="preserve">of </w:t>
      </w:r>
      <w:r w:rsidRPr="00BC2D1F">
        <w:rPr>
          <w:rFonts w:eastAsia="Times New Roman" w:cs="Times New Roman"/>
        </w:rPr>
        <w:t xml:space="preserve">degree credit for </w:t>
      </w:r>
      <w:r w:rsidR="004953F8">
        <w:rPr>
          <w:rFonts w:eastAsia="Times New Roman" w:cs="Times New Roman"/>
        </w:rPr>
        <w:t>Non-Collegiate Instruction</w:t>
      </w:r>
      <w:r w:rsidRPr="00BC2D1F">
        <w:rPr>
          <w:rFonts w:eastAsia="Times New Roman" w:cs="Times New Roman"/>
        </w:rPr>
        <w:t>,</w:t>
      </w:r>
      <w:r w:rsidR="00642416">
        <w:rPr>
          <w:rFonts w:eastAsia="Times New Roman" w:cs="Times New Roman"/>
        </w:rPr>
        <w:t xml:space="preserve"> </w:t>
      </w:r>
      <w:r w:rsidRPr="00BC2D1F">
        <w:rPr>
          <w:rFonts w:eastAsia="Times New Roman" w:cs="Times New Roman"/>
        </w:rPr>
        <w:t>includ</w:t>
      </w:r>
      <w:r w:rsidR="002D563A">
        <w:rPr>
          <w:rFonts w:eastAsia="Times New Roman" w:cs="Times New Roman"/>
        </w:rPr>
        <w:t>ing</w:t>
      </w:r>
      <w:r w:rsidRPr="00BC2D1F">
        <w:rPr>
          <w:rFonts w:eastAsia="Times New Roman" w:cs="Times New Roman"/>
        </w:rPr>
        <w:t xml:space="preserve"> military and workplace </w:t>
      </w:r>
      <w:r w:rsidR="00AC618E">
        <w:rPr>
          <w:rFonts w:eastAsia="Times New Roman" w:cs="Times New Roman"/>
        </w:rPr>
        <w:t>t</w:t>
      </w:r>
      <w:r w:rsidR="00912C0C">
        <w:rPr>
          <w:rFonts w:eastAsia="Times New Roman" w:cs="Times New Roman"/>
        </w:rPr>
        <w:t xml:space="preserve">raining </w:t>
      </w:r>
      <w:r w:rsidR="00AC618E">
        <w:rPr>
          <w:rFonts w:eastAsia="Times New Roman" w:cs="Times New Roman"/>
        </w:rPr>
        <w:t>p</w:t>
      </w:r>
      <w:r w:rsidR="00912C0C">
        <w:rPr>
          <w:rFonts w:eastAsia="Times New Roman" w:cs="Times New Roman"/>
        </w:rPr>
        <w:t>rogram</w:t>
      </w:r>
      <w:r w:rsidRPr="00BC2D1F">
        <w:rPr>
          <w:rFonts w:eastAsia="Times New Roman" w:cs="Times New Roman"/>
        </w:rPr>
        <w:t>s</w:t>
      </w:r>
      <w:r w:rsidR="00830A2D">
        <w:rPr>
          <w:rFonts w:eastAsia="Times New Roman" w:cs="Times New Roman"/>
        </w:rPr>
        <w:t xml:space="preserve"> and professional credentials</w:t>
      </w:r>
      <w:r w:rsidR="004953F8">
        <w:rPr>
          <w:rFonts w:eastAsia="Times New Roman" w:cs="Times New Roman"/>
        </w:rPr>
        <w:t xml:space="preserve">. </w:t>
      </w:r>
      <w:r w:rsidR="002A7F4B">
        <w:rPr>
          <w:rFonts w:eastAsia="Times New Roman" w:cs="Times New Roman"/>
        </w:rPr>
        <w:t>During this same period t</w:t>
      </w:r>
      <w:r w:rsidRPr="00BC2D1F">
        <w:rPr>
          <w:rFonts w:eastAsia="Times New Roman" w:cs="Times New Roman"/>
        </w:rPr>
        <w:t>wo college</w:t>
      </w:r>
      <w:r w:rsidR="002A7F4B">
        <w:rPr>
          <w:rFonts w:eastAsia="Times New Roman" w:cs="Times New Roman"/>
        </w:rPr>
        <w:t>-</w:t>
      </w:r>
      <w:r w:rsidRPr="00BC2D1F">
        <w:rPr>
          <w:rFonts w:eastAsia="Times New Roman" w:cs="Times New Roman"/>
        </w:rPr>
        <w:t xml:space="preserve">credit advisory services were established to review </w:t>
      </w:r>
      <w:r w:rsidR="004953F8">
        <w:rPr>
          <w:rFonts w:eastAsia="Times New Roman" w:cs="Times New Roman"/>
        </w:rPr>
        <w:t>Non-Collegiate Instruction</w:t>
      </w:r>
      <w:r w:rsidRPr="00BC2D1F">
        <w:rPr>
          <w:rFonts w:eastAsia="Times New Roman" w:cs="Times New Roman"/>
        </w:rPr>
        <w:t xml:space="preserve"> for college equivalence: </w:t>
      </w:r>
      <w:r w:rsidR="003D5B85">
        <w:rPr>
          <w:rFonts w:eastAsia="Times New Roman" w:cs="Times New Roman"/>
        </w:rPr>
        <w:t>the</w:t>
      </w:r>
      <w:r w:rsidR="003D5B85" w:rsidRPr="00BC2D1F">
        <w:rPr>
          <w:rFonts w:eastAsia="Times New Roman" w:cs="Times New Roman"/>
        </w:rPr>
        <w:t xml:space="preserve"> National Colleg</w:t>
      </w:r>
      <w:r w:rsidR="003D5B85">
        <w:rPr>
          <w:rFonts w:eastAsia="Times New Roman" w:cs="Times New Roman"/>
        </w:rPr>
        <w:t>e Credit Recommendation Service (NCCRS, formerly</w:t>
      </w:r>
      <w:r w:rsidR="003D5B85" w:rsidRPr="00BC2D1F">
        <w:rPr>
          <w:rFonts w:eastAsia="Times New Roman" w:cs="Times New Roman"/>
        </w:rPr>
        <w:t xml:space="preserve"> </w:t>
      </w:r>
      <w:r w:rsidR="00A51159" w:rsidRPr="00BC2D1F">
        <w:rPr>
          <w:rFonts w:eastAsia="Times New Roman" w:cs="Times New Roman"/>
        </w:rPr>
        <w:t xml:space="preserve">the </w:t>
      </w:r>
      <w:r w:rsidR="009E43CF" w:rsidRPr="00BC2D1F">
        <w:rPr>
          <w:rFonts w:eastAsia="Times New Roman" w:cs="Times New Roman"/>
        </w:rPr>
        <w:t xml:space="preserve">National Program </w:t>
      </w:r>
      <w:r w:rsidR="009E43CF">
        <w:rPr>
          <w:rFonts w:eastAsia="Times New Roman" w:cs="Times New Roman"/>
        </w:rPr>
        <w:t>o</w:t>
      </w:r>
      <w:r w:rsidR="009E43CF" w:rsidRPr="00BC2D1F">
        <w:rPr>
          <w:rFonts w:eastAsia="Times New Roman" w:cs="Times New Roman"/>
        </w:rPr>
        <w:t>n Non</w:t>
      </w:r>
      <w:r w:rsidR="009E43CF">
        <w:rPr>
          <w:rFonts w:eastAsia="Times New Roman" w:cs="Times New Roman"/>
        </w:rPr>
        <w:t>-</w:t>
      </w:r>
      <w:r w:rsidR="004953F8">
        <w:rPr>
          <w:rFonts w:eastAsia="Times New Roman" w:cs="Times New Roman"/>
        </w:rPr>
        <w:t>C</w:t>
      </w:r>
      <w:r w:rsidR="009E43CF" w:rsidRPr="00BC2D1F">
        <w:rPr>
          <w:rFonts w:eastAsia="Times New Roman" w:cs="Times New Roman"/>
        </w:rPr>
        <w:t>ollegiate Sponsored Instruction</w:t>
      </w:r>
      <w:r w:rsidR="009E43CF">
        <w:rPr>
          <w:rFonts w:eastAsia="Times New Roman" w:cs="Times New Roman"/>
        </w:rPr>
        <w:t xml:space="preserve">) in </w:t>
      </w:r>
      <w:proofErr w:type="gramStart"/>
      <w:r w:rsidR="009E43CF" w:rsidRPr="00BC2D1F">
        <w:rPr>
          <w:rFonts w:eastAsia="Times New Roman" w:cs="Times New Roman"/>
        </w:rPr>
        <w:t>1973</w:t>
      </w:r>
      <w:r w:rsidR="009E43CF">
        <w:rPr>
          <w:rFonts w:eastAsia="Times New Roman" w:cs="Times New Roman"/>
        </w:rPr>
        <w:t>,</w:t>
      </w:r>
      <w:proofErr w:type="gramEnd"/>
      <w:r w:rsidR="00C533BE">
        <w:rPr>
          <w:rFonts w:eastAsia="Times New Roman" w:cs="Times New Roman"/>
        </w:rPr>
        <w:t xml:space="preserve"> </w:t>
      </w:r>
      <w:r w:rsidR="009E43CF">
        <w:rPr>
          <w:rFonts w:eastAsia="Times New Roman" w:cs="Times New Roman"/>
        </w:rPr>
        <w:t xml:space="preserve">and </w:t>
      </w:r>
      <w:r w:rsidR="009E43CF" w:rsidRPr="00BC2D1F">
        <w:rPr>
          <w:rFonts w:eastAsia="Times New Roman" w:cs="Times New Roman"/>
        </w:rPr>
        <w:t xml:space="preserve">the </w:t>
      </w:r>
      <w:r w:rsidR="003D5B85">
        <w:rPr>
          <w:rFonts w:eastAsia="Times New Roman" w:cs="Times New Roman"/>
        </w:rPr>
        <w:t xml:space="preserve">American Council on Education’s (ACE) </w:t>
      </w:r>
      <w:r w:rsidR="009E43CF" w:rsidRPr="00BC2D1F">
        <w:rPr>
          <w:rFonts w:eastAsia="Times New Roman" w:cs="Times New Roman"/>
          <w:i/>
          <w:iCs/>
        </w:rPr>
        <w:t>National Guide to College Credit</w:t>
      </w:r>
      <w:r w:rsidR="003D5B85">
        <w:rPr>
          <w:rFonts w:eastAsia="Times New Roman" w:cs="Times New Roman"/>
          <w:i/>
          <w:iCs/>
        </w:rPr>
        <w:t xml:space="preserve"> for Workforce Training</w:t>
      </w:r>
      <w:r w:rsidR="009E43CF" w:rsidRPr="00BC2D1F">
        <w:rPr>
          <w:rFonts w:eastAsia="Times New Roman" w:cs="Times New Roman"/>
        </w:rPr>
        <w:t xml:space="preserve"> </w:t>
      </w:r>
      <w:r w:rsidR="009E43CF">
        <w:rPr>
          <w:rFonts w:eastAsia="Times New Roman" w:cs="Times New Roman"/>
        </w:rPr>
        <w:t xml:space="preserve">in </w:t>
      </w:r>
      <w:r w:rsidR="009E43CF" w:rsidRPr="00BC2D1F">
        <w:rPr>
          <w:rFonts w:eastAsia="Times New Roman" w:cs="Times New Roman"/>
        </w:rPr>
        <w:t>1974</w:t>
      </w:r>
      <w:r w:rsidR="004953F8">
        <w:rPr>
          <w:rFonts w:eastAsia="Times New Roman" w:cs="Times New Roman"/>
        </w:rPr>
        <w:t xml:space="preserve">. </w:t>
      </w:r>
      <w:r w:rsidRPr="00BC2D1F">
        <w:rPr>
          <w:rFonts w:eastAsia="Times New Roman" w:cs="Times New Roman"/>
        </w:rPr>
        <w:t xml:space="preserve">As the sponsors of these credit advisory services, both </w:t>
      </w:r>
      <w:r w:rsidR="00C33E68">
        <w:rPr>
          <w:rFonts w:eastAsia="Times New Roman" w:cs="Times New Roman"/>
        </w:rPr>
        <w:t xml:space="preserve">the </w:t>
      </w:r>
      <w:r w:rsidR="00C33E68" w:rsidRPr="00BC2D1F">
        <w:rPr>
          <w:rFonts w:eastAsia="Times New Roman" w:cs="Times New Roman"/>
        </w:rPr>
        <w:t xml:space="preserve">New York Board of Regents </w:t>
      </w:r>
      <w:r w:rsidR="00C33E68">
        <w:rPr>
          <w:rFonts w:eastAsia="Times New Roman" w:cs="Times New Roman"/>
        </w:rPr>
        <w:t xml:space="preserve">and </w:t>
      </w:r>
      <w:r w:rsidR="00C533BE">
        <w:rPr>
          <w:rFonts w:eastAsia="Times New Roman" w:cs="Times New Roman"/>
        </w:rPr>
        <w:t>ACE</w:t>
      </w:r>
      <w:r w:rsidRPr="00BC2D1F">
        <w:rPr>
          <w:rFonts w:eastAsia="Times New Roman" w:cs="Times New Roman"/>
        </w:rPr>
        <w:t xml:space="preserve"> were instrumental in establishing the evaluation of </w:t>
      </w:r>
      <w:r w:rsidR="00D93B93">
        <w:rPr>
          <w:rFonts w:eastAsia="Times New Roman" w:cs="Times New Roman"/>
        </w:rPr>
        <w:t>Non-Collegiate Instruction</w:t>
      </w:r>
      <w:r w:rsidRPr="00BC2D1F">
        <w:rPr>
          <w:rFonts w:eastAsia="Times New Roman" w:cs="Times New Roman"/>
        </w:rPr>
        <w:t xml:space="preserve">, as well as procedures to ensure validity of </w:t>
      </w:r>
      <w:r w:rsidR="00A11426">
        <w:rPr>
          <w:rFonts w:eastAsia="Times New Roman" w:cs="Times New Roman"/>
        </w:rPr>
        <w:t xml:space="preserve">the </w:t>
      </w:r>
      <w:r w:rsidRPr="00BC2D1F">
        <w:rPr>
          <w:rFonts w:eastAsia="Times New Roman" w:cs="Times New Roman"/>
        </w:rPr>
        <w:t>credit recommendations</w:t>
      </w:r>
      <w:r w:rsidR="004953F8">
        <w:rPr>
          <w:rFonts w:eastAsia="Times New Roman" w:cs="Times New Roman"/>
        </w:rPr>
        <w:t xml:space="preserve">. </w:t>
      </w:r>
      <w:r w:rsidRPr="00BC2D1F">
        <w:rPr>
          <w:rFonts w:eastAsia="Times New Roman" w:cs="Times New Roman"/>
        </w:rPr>
        <w:t xml:space="preserve">Concurrent with these developments, </w:t>
      </w:r>
      <w:r w:rsidR="003D5B85">
        <w:rPr>
          <w:rFonts w:ascii="Times New Roman" w:hAnsi="Times New Roman" w:cs="Times New Roman"/>
        </w:rPr>
        <w:t>the</w:t>
      </w:r>
      <w:r w:rsidR="003D5B85" w:rsidRPr="00BC2D1F">
        <w:rPr>
          <w:rFonts w:eastAsia="Times New Roman" w:cs="Times New Roman"/>
        </w:rPr>
        <w:t xml:space="preserve"> Council for Adult &amp; Experiential Learning (CAEL</w:t>
      </w:r>
      <w:r w:rsidR="003D5B85">
        <w:rPr>
          <w:rFonts w:eastAsia="Times New Roman" w:cs="Times New Roman"/>
        </w:rPr>
        <w:t xml:space="preserve">, formerly </w:t>
      </w:r>
      <w:r w:rsidRPr="00BC2D1F">
        <w:rPr>
          <w:rFonts w:eastAsia="Times New Roman" w:cs="Times New Roman"/>
        </w:rPr>
        <w:t xml:space="preserve">the </w:t>
      </w:r>
      <w:r w:rsidR="00EF7141" w:rsidRPr="00A67577">
        <w:rPr>
          <w:rFonts w:ascii="Times New Roman" w:hAnsi="Times New Roman" w:cs="Times New Roman"/>
        </w:rPr>
        <w:t>Cooperative Assessment of Experiential Learning</w:t>
      </w:r>
      <w:r w:rsidR="003D5B85">
        <w:rPr>
          <w:rFonts w:ascii="Times New Roman" w:hAnsi="Times New Roman" w:cs="Times New Roman"/>
        </w:rPr>
        <w:t xml:space="preserve">) </w:t>
      </w:r>
      <w:r w:rsidR="00AC618E">
        <w:rPr>
          <w:rFonts w:eastAsia="Times New Roman" w:cs="Times New Roman"/>
        </w:rPr>
        <w:t xml:space="preserve">developed the </w:t>
      </w:r>
      <w:r w:rsidR="00AC618E" w:rsidRPr="00AC618E">
        <w:rPr>
          <w:rFonts w:eastAsia="Times New Roman" w:cs="Times New Roman"/>
          <w:i/>
        </w:rPr>
        <w:t>Ten Standards for Assessing Learning</w:t>
      </w:r>
      <w:r w:rsidR="00AC618E">
        <w:rPr>
          <w:rFonts w:eastAsia="Times New Roman" w:cs="Times New Roman"/>
        </w:rPr>
        <w:t xml:space="preserve"> </w:t>
      </w:r>
      <w:r w:rsidRPr="00BC2D1F">
        <w:rPr>
          <w:rFonts w:eastAsia="Times New Roman" w:cs="Times New Roman"/>
        </w:rPr>
        <w:t xml:space="preserve">for college programs to award credit for experiential learning </w:t>
      </w:r>
      <w:r w:rsidR="00A11426">
        <w:rPr>
          <w:rFonts w:eastAsia="Times New Roman" w:cs="Times New Roman"/>
        </w:rPr>
        <w:t>to</w:t>
      </w:r>
      <w:r w:rsidRPr="00BC2D1F">
        <w:rPr>
          <w:rFonts w:eastAsia="Times New Roman" w:cs="Times New Roman"/>
        </w:rPr>
        <w:t xml:space="preserve"> adults whose college-level learning was acquired through means other than </w:t>
      </w:r>
      <w:r w:rsidR="00180CF2">
        <w:rPr>
          <w:rFonts w:eastAsia="Times New Roman" w:cs="Times New Roman"/>
        </w:rPr>
        <w:t xml:space="preserve">workplace training or other </w:t>
      </w:r>
      <w:r w:rsidRPr="00BC2D1F">
        <w:rPr>
          <w:rFonts w:eastAsia="Times New Roman" w:cs="Times New Roman"/>
        </w:rPr>
        <w:t>formal instruction</w:t>
      </w:r>
      <w:r w:rsidR="00180CF2">
        <w:rPr>
          <w:rFonts w:eastAsia="Times New Roman" w:cs="Times New Roman"/>
        </w:rPr>
        <w:t>.</w:t>
      </w:r>
      <w:r w:rsidR="00180CF2" w:rsidRPr="00BC2D1F">
        <w:rPr>
          <w:rFonts w:eastAsia="Times New Roman" w:cs="Times New Roman"/>
        </w:rPr>
        <w:t xml:space="preserve"> </w:t>
      </w:r>
    </w:p>
    <w:p w14:paraId="7B36C9B8" w14:textId="7FE19B13" w:rsidR="00BF3986" w:rsidRDefault="00BC2D1F" w:rsidP="00D05B20">
      <w:pPr>
        <w:pStyle w:val="SectionHeading"/>
      </w:pPr>
      <w:r w:rsidRPr="00BC2D1F">
        <w:t>C</w:t>
      </w:r>
      <w:r w:rsidR="00E154BF">
        <w:t xml:space="preserve">ollege Credit for </w:t>
      </w:r>
      <w:r w:rsidR="004953F8">
        <w:t>Non-Collegiate Instruction</w:t>
      </w:r>
      <w:r w:rsidRPr="00BC2D1F">
        <w:t xml:space="preserve">: A Changing Landscape </w:t>
      </w:r>
    </w:p>
    <w:p w14:paraId="7FE5969E" w14:textId="2E778CF8" w:rsidR="00BF3986" w:rsidRDefault="00B37A8D" w:rsidP="00BC2D1F">
      <w:pPr>
        <w:rPr>
          <w:rFonts w:eastAsia="Times New Roman" w:cs="Times New Roman"/>
        </w:rPr>
      </w:pPr>
      <w:r>
        <w:rPr>
          <w:rFonts w:eastAsia="Times New Roman" w:cs="Times New Roman"/>
        </w:rPr>
        <w:t>Now, f</w:t>
      </w:r>
      <w:r w:rsidR="00BC2D1F" w:rsidRPr="00BC2D1F">
        <w:rPr>
          <w:rFonts w:eastAsia="Times New Roman" w:cs="Times New Roman"/>
        </w:rPr>
        <w:t>orty</w:t>
      </w:r>
      <w:r>
        <w:rPr>
          <w:rFonts w:eastAsia="Times New Roman" w:cs="Times New Roman"/>
        </w:rPr>
        <w:t>-some</w:t>
      </w:r>
      <w:r w:rsidR="00BC2D1F" w:rsidRPr="00BC2D1F">
        <w:rPr>
          <w:rFonts w:eastAsia="Times New Roman" w:cs="Times New Roman"/>
        </w:rPr>
        <w:t xml:space="preserve"> years later, the adult higher education landscape has changed dramatical</w:t>
      </w:r>
      <w:r w:rsidR="007A02F6">
        <w:rPr>
          <w:rFonts w:eastAsia="Times New Roman" w:cs="Times New Roman"/>
        </w:rPr>
        <w:t>ly</w:t>
      </w:r>
      <w:r w:rsidR="004953F8">
        <w:rPr>
          <w:rFonts w:eastAsia="Times New Roman" w:cs="Times New Roman"/>
        </w:rPr>
        <w:t xml:space="preserve">. </w:t>
      </w:r>
      <w:r w:rsidR="00BC2D1F" w:rsidRPr="00BC2D1F">
        <w:rPr>
          <w:rFonts w:eastAsia="Times New Roman" w:cs="Times New Roman"/>
        </w:rPr>
        <w:t xml:space="preserve">Advances in technology and the impact of globalization on the national economy have significantly changed the country's workforce needs and the </w:t>
      </w:r>
      <w:r w:rsidR="000E676B">
        <w:rPr>
          <w:rFonts w:eastAsia="Times New Roman" w:cs="Times New Roman"/>
        </w:rPr>
        <w:t>imperative</w:t>
      </w:r>
      <w:r w:rsidR="000E676B" w:rsidRPr="00BC2D1F">
        <w:rPr>
          <w:rFonts w:eastAsia="Times New Roman" w:cs="Times New Roman"/>
        </w:rPr>
        <w:t xml:space="preserve"> </w:t>
      </w:r>
      <w:r w:rsidR="007A02F6" w:rsidRPr="007A02F6">
        <w:rPr>
          <w:rFonts w:eastAsia="Times New Roman" w:cs="Times New Roman"/>
        </w:rPr>
        <w:t xml:space="preserve">to increase degree </w:t>
      </w:r>
      <w:proofErr w:type="gramStart"/>
      <w:r w:rsidR="007A02F6" w:rsidRPr="007A02F6">
        <w:rPr>
          <w:rFonts w:eastAsia="Times New Roman" w:cs="Times New Roman"/>
        </w:rPr>
        <w:t>attainment</w:t>
      </w:r>
      <w:proofErr w:type="gramEnd"/>
      <w:r w:rsidR="000631AE">
        <w:rPr>
          <w:rFonts w:eastAsia="Times New Roman" w:cs="Times New Roman"/>
        </w:rPr>
        <w:t xml:space="preserve"> has become a national agenda</w:t>
      </w:r>
      <w:r w:rsidR="004953F8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A</w:t>
      </w:r>
      <w:r w:rsidR="00BC2D1F" w:rsidRPr="00BC2D1F">
        <w:rPr>
          <w:rFonts w:eastAsia="Times New Roman" w:cs="Times New Roman"/>
        </w:rPr>
        <w:t>t the same time</w:t>
      </w:r>
      <w:r w:rsidR="000E676B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 w:rsidR="00BC2D1F" w:rsidRPr="00BC2D1F">
        <w:rPr>
          <w:rFonts w:eastAsia="Times New Roman" w:cs="Times New Roman"/>
        </w:rPr>
        <w:t>the cost of a college education has become prohibitively expensive</w:t>
      </w:r>
      <w:r>
        <w:rPr>
          <w:rFonts w:eastAsia="Times New Roman" w:cs="Times New Roman"/>
        </w:rPr>
        <w:t xml:space="preserve"> and institutions </w:t>
      </w:r>
      <w:r w:rsidR="000E676B">
        <w:rPr>
          <w:rFonts w:eastAsia="Times New Roman" w:cs="Times New Roman"/>
        </w:rPr>
        <w:t xml:space="preserve">seek alternative means </w:t>
      </w:r>
      <w:r>
        <w:rPr>
          <w:rFonts w:eastAsia="Times New Roman" w:cs="Times New Roman"/>
        </w:rPr>
        <w:t>to decrease costs to students</w:t>
      </w:r>
      <w:r w:rsidR="004953F8">
        <w:rPr>
          <w:rFonts w:eastAsia="Times New Roman" w:cs="Times New Roman"/>
        </w:rPr>
        <w:t xml:space="preserve">. </w:t>
      </w:r>
      <w:r w:rsidR="00BC2D1F" w:rsidRPr="00BC2D1F">
        <w:rPr>
          <w:rFonts w:eastAsia="Times New Roman" w:cs="Times New Roman"/>
        </w:rPr>
        <w:t>Moreover, adult learners pursuing a college education</w:t>
      </w:r>
      <w:r w:rsidR="00506FBA">
        <w:rPr>
          <w:rFonts w:eastAsia="Times New Roman" w:cs="Times New Roman"/>
        </w:rPr>
        <w:t xml:space="preserve"> bring with them a</w:t>
      </w:r>
      <w:r w:rsidR="000E676B">
        <w:rPr>
          <w:rFonts w:eastAsia="Times New Roman" w:cs="Times New Roman"/>
        </w:rPr>
        <w:t>n</w:t>
      </w:r>
      <w:r w:rsidR="00506FBA">
        <w:rPr>
          <w:rFonts w:eastAsia="Times New Roman" w:cs="Times New Roman"/>
        </w:rPr>
        <w:t xml:space="preserve"> increased number of workplace training experiences</w:t>
      </w:r>
      <w:r w:rsidR="004204BF">
        <w:rPr>
          <w:rFonts w:eastAsia="Times New Roman" w:cs="Times New Roman"/>
        </w:rPr>
        <w:t>,</w:t>
      </w:r>
      <w:r w:rsidR="00506FBA">
        <w:rPr>
          <w:rFonts w:eastAsia="Times New Roman" w:cs="Times New Roman"/>
        </w:rPr>
        <w:t xml:space="preserve"> professional credentials</w:t>
      </w:r>
      <w:r w:rsidR="004204BF">
        <w:rPr>
          <w:rFonts w:eastAsia="Times New Roman" w:cs="Times New Roman"/>
        </w:rPr>
        <w:t>, and non-credit online learning</w:t>
      </w:r>
      <w:r w:rsidR="00C533BE">
        <w:rPr>
          <w:rFonts w:eastAsia="Times New Roman" w:cs="Times New Roman"/>
        </w:rPr>
        <w:t xml:space="preserve"> that has the potential for college equivalency</w:t>
      </w:r>
      <w:r>
        <w:rPr>
          <w:rFonts w:eastAsia="Times New Roman" w:cs="Times New Roman"/>
        </w:rPr>
        <w:t>.</w:t>
      </w:r>
    </w:p>
    <w:p w14:paraId="25D0387E" w14:textId="77777777" w:rsidR="00BF3986" w:rsidRDefault="00BC2D1F" w:rsidP="00D05B20">
      <w:pPr>
        <w:pStyle w:val="SectionHeading"/>
      </w:pPr>
      <w:r w:rsidRPr="00BC2D1F">
        <w:lastRenderedPageBreak/>
        <w:t>Forming a Consortium</w:t>
      </w:r>
    </w:p>
    <w:p w14:paraId="456FFC16" w14:textId="40CF44F0" w:rsidR="006F6ADE" w:rsidRDefault="00BC2D1F" w:rsidP="006F7DFC">
      <w:pPr>
        <w:rPr>
          <w:rFonts w:eastAsia="Times New Roman" w:cs="Times New Roman"/>
        </w:rPr>
      </w:pPr>
      <w:r w:rsidRPr="00BC2D1F">
        <w:rPr>
          <w:rFonts w:eastAsia="Times New Roman" w:cs="Times New Roman"/>
        </w:rPr>
        <w:t xml:space="preserve">Given their common mission and </w:t>
      </w:r>
      <w:r w:rsidR="0084455B">
        <w:rPr>
          <w:rFonts w:eastAsia="Times New Roman" w:cs="Times New Roman"/>
        </w:rPr>
        <w:t xml:space="preserve">experience </w:t>
      </w:r>
      <w:r w:rsidR="000E676B">
        <w:rPr>
          <w:rFonts w:eastAsia="Times New Roman" w:cs="Times New Roman"/>
        </w:rPr>
        <w:t xml:space="preserve">assessing college-level learning from </w:t>
      </w:r>
      <w:r w:rsidR="004953F8">
        <w:rPr>
          <w:rFonts w:eastAsia="Times New Roman" w:cs="Times New Roman"/>
        </w:rPr>
        <w:t>Non-Collegiate Instruction</w:t>
      </w:r>
      <w:r w:rsidR="000E676B">
        <w:rPr>
          <w:rFonts w:eastAsia="Times New Roman" w:cs="Times New Roman"/>
        </w:rPr>
        <w:t>al sources,</w:t>
      </w:r>
      <w:r w:rsidR="000E676B" w:rsidRPr="000E676B">
        <w:rPr>
          <w:rFonts w:eastAsia="Times New Roman" w:cs="Times New Roman"/>
        </w:rPr>
        <w:t xml:space="preserve"> </w:t>
      </w:r>
      <w:r w:rsidR="000E676B">
        <w:rPr>
          <w:rFonts w:eastAsia="Times New Roman" w:cs="Times New Roman"/>
        </w:rPr>
        <w:t xml:space="preserve">the following </w:t>
      </w:r>
      <w:r w:rsidR="000E676B" w:rsidRPr="00BC2D1F">
        <w:rPr>
          <w:rFonts w:eastAsia="Times New Roman" w:cs="Times New Roman"/>
        </w:rPr>
        <w:t xml:space="preserve">adult-centered colleges have </w:t>
      </w:r>
      <w:r w:rsidR="00DA6D43">
        <w:rPr>
          <w:rFonts w:eastAsia="Times New Roman" w:cs="Times New Roman"/>
        </w:rPr>
        <w:t>established</w:t>
      </w:r>
      <w:r w:rsidR="00DA6D43" w:rsidRPr="00BC2D1F">
        <w:rPr>
          <w:rFonts w:eastAsia="Times New Roman" w:cs="Times New Roman"/>
        </w:rPr>
        <w:t xml:space="preserve"> </w:t>
      </w:r>
      <w:r w:rsidR="007A02F6" w:rsidRPr="007A02F6">
        <w:rPr>
          <w:rFonts w:eastAsia="Times New Roman" w:cs="Times New Roman"/>
        </w:rPr>
        <w:t>the Consortium for Assessment of College Equivalence (CACE</w:t>
      </w:r>
      <w:r w:rsidR="00C533BE">
        <w:rPr>
          <w:rFonts w:eastAsia="Times New Roman" w:cs="Times New Roman"/>
        </w:rPr>
        <w:t>):</w:t>
      </w:r>
      <w:r w:rsidR="00DA6D43">
        <w:rPr>
          <w:rFonts w:eastAsia="Times New Roman" w:cs="Times New Roman"/>
        </w:rPr>
        <w:t xml:space="preserve"> Charter Oak State College, Community College of Vermont, Excelsior College, Granite State College, SUNY Empire State College, and Thomas Edison State College</w:t>
      </w:r>
      <w:r w:rsidR="00C533BE">
        <w:rPr>
          <w:rFonts w:eastAsia="Times New Roman" w:cs="Times New Roman"/>
        </w:rPr>
        <w:t>.</w:t>
      </w:r>
      <w:r w:rsidR="000C5295">
        <w:rPr>
          <w:rFonts w:eastAsia="Times New Roman" w:cs="Times New Roman"/>
        </w:rPr>
        <w:t xml:space="preserve"> </w:t>
      </w:r>
      <w:r w:rsidR="00DA6D43">
        <w:rPr>
          <w:rFonts w:eastAsia="Times New Roman" w:cs="Times New Roman"/>
        </w:rPr>
        <w:t>The purpose of this consortium is</w:t>
      </w:r>
      <w:r w:rsidR="000E676B" w:rsidRPr="00BC2D1F">
        <w:rPr>
          <w:rFonts w:eastAsia="Times New Roman" w:cs="Times New Roman"/>
        </w:rPr>
        <w:t xml:space="preserve"> to make the best use of </w:t>
      </w:r>
      <w:r w:rsidR="00DA6D43">
        <w:rPr>
          <w:rFonts w:eastAsia="Times New Roman" w:cs="Times New Roman"/>
        </w:rPr>
        <w:t>the member institutions’</w:t>
      </w:r>
      <w:r w:rsidR="00DA6D43" w:rsidRPr="00BC2D1F">
        <w:rPr>
          <w:rFonts w:eastAsia="Times New Roman" w:cs="Times New Roman"/>
        </w:rPr>
        <w:t xml:space="preserve"> </w:t>
      </w:r>
      <w:r w:rsidR="000E676B" w:rsidRPr="00BC2D1F">
        <w:rPr>
          <w:rFonts w:eastAsia="Times New Roman" w:cs="Times New Roman"/>
        </w:rPr>
        <w:t xml:space="preserve">resources to increase students' access to preapproved credit for </w:t>
      </w:r>
      <w:r w:rsidR="004953F8">
        <w:rPr>
          <w:rFonts w:eastAsia="Times New Roman" w:cs="Times New Roman"/>
        </w:rPr>
        <w:t>Non-Collegiate Instruction</w:t>
      </w:r>
      <w:r w:rsidR="000E676B" w:rsidRPr="00BC2D1F">
        <w:rPr>
          <w:rFonts w:eastAsia="Times New Roman" w:cs="Times New Roman"/>
        </w:rPr>
        <w:t>,</w:t>
      </w:r>
      <w:r w:rsidR="000E676B">
        <w:rPr>
          <w:rFonts w:eastAsia="Times New Roman" w:cs="Times New Roman"/>
        </w:rPr>
        <w:t xml:space="preserve"> regardless of home institution</w:t>
      </w:r>
      <w:r w:rsidR="004953F8">
        <w:rPr>
          <w:rFonts w:eastAsia="Times New Roman" w:cs="Times New Roman"/>
        </w:rPr>
        <w:t xml:space="preserve">. </w:t>
      </w:r>
      <w:r w:rsidR="006F7DFC" w:rsidRPr="00BC2D1F">
        <w:rPr>
          <w:rFonts w:eastAsia="Times New Roman" w:cs="Times New Roman"/>
        </w:rPr>
        <w:t xml:space="preserve">In addition to increasing the availability of credit for </w:t>
      </w:r>
      <w:r w:rsidR="004953F8">
        <w:rPr>
          <w:rFonts w:eastAsia="Times New Roman" w:cs="Times New Roman"/>
        </w:rPr>
        <w:t>Non-Collegiate Instruction</w:t>
      </w:r>
      <w:r w:rsidR="006F7DFC" w:rsidRPr="00BC2D1F">
        <w:rPr>
          <w:rFonts w:eastAsia="Times New Roman" w:cs="Times New Roman"/>
        </w:rPr>
        <w:t xml:space="preserve">, the intent </w:t>
      </w:r>
      <w:r w:rsidR="000C5295">
        <w:rPr>
          <w:rFonts w:eastAsia="Times New Roman" w:cs="Times New Roman"/>
        </w:rPr>
        <w:t xml:space="preserve">of this consortium </w:t>
      </w:r>
      <w:r w:rsidR="006F7DFC" w:rsidRPr="00BC2D1F">
        <w:rPr>
          <w:rFonts w:eastAsia="Times New Roman" w:cs="Times New Roman"/>
        </w:rPr>
        <w:t xml:space="preserve">is to work toward a common set of standards </w:t>
      </w:r>
      <w:r w:rsidR="006F7DFC">
        <w:rPr>
          <w:rFonts w:eastAsia="Times New Roman" w:cs="Times New Roman"/>
        </w:rPr>
        <w:t xml:space="preserve">for </w:t>
      </w:r>
      <w:r w:rsidR="000C5295">
        <w:rPr>
          <w:rFonts w:eastAsia="Times New Roman" w:cs="Times New Roman"/>
        </w:rPr>
        <w:t>its</w:t>
      </w:r>
      <w:r w:rsidR="006F7DFC">
        <w:rPr>
          <w:rFonts w:eastAsia="Times New Roman" w:cs="Times New Roman"/>
        </w:rPr>
        <w:t xml:space="preserve"> assessment</w:t>
      </w:r>
      <w:r w:rsidR="004953F8">
        <w:rPr>
          <w:rFonts w:eastAsia="Times New Roman" w:cs="Times New Roman"/>
        </w:rPr>
        <w:t xml:space="preserve">. </w:t>
      </w:r>
      <w:r w:rsidR="006F7DFC">
        <w:rPr>
          <w:rFonts w:eastAsia="Times New Roman" w:cs="Times New Roman"/>
        </w:rPr>
        <w:t xml:space="preserve">Although each </w:t>
      </w:r>
      <w:r w:rsidR="0030666F">
        <w:rPr>
          <w:rFonts w:eastAsia="Times New Roman" w:cs="Times New Roman"/>
        </w:rPr>
        <w:t xml:space="preserve">CACE </w:t>
      </w:r>
      <w:r w:rsidR="006F7DFC">
        <w:rPr>
          <w:rFonts w:eastAsia="Times New Roman" w:cs="Times New Roman"/>
        </w:rPr>
        <w:t xml:space="preserve">institution aligns </w:t>
      </w:r>
      <w:r w:rsidR="0030666F">
        <w:rPr>
          <w:rFonts w:eastAsia="Times New Roman" w:cs="Times New Roman"/>
        </w:rPr>
        <w:t>its policies and practices</w:t>
      </w:r>
      <w:r w:rsidR="006F7DFC">
        <w:rPr>
          <w:rFonts w:eastAsia="Times New Roman" w:cs="Times New Roman"/>
        </w:rPr>
        <w:t xml:space="preserve"> with </w:t>
      </w:r>
      <w:r w:rsidR="0030666F">
        <w:rPr>
          <w:rFonts w:eastAsia="Times New Roman" w:cs="Times New Roman"/>
        </w:rPr>
        <w:t xml:space="preserve">its </w:t>
      </w:r>
      <w:r w:rsidR="006F7DFC">
        <w:rPr>
          <w:rFonts w:eastAsia="Times New Roman" w:cs="Times New Roman"/>
        </w:rPr>
        <w:t>regional accreditation standards</w:t>
      </w:r>
      <w:r w:rsidR="0030666F">
        <w:rPr>
          <w:rFonts w:eastAsia="Times New Roman" w:cs="Times New Roman"/>
        </w:rPr>
        <w:t>,</w:t>
      </w:r>
      <w:r w:rsidR="006F7DFC">
        <w:rPr>
          <w:rFonts w:eastAsia="Times New Roman" w:cs="Times New Roman"/>
        </w:rPr>
        <w:t xml:space="preserve"> </w:t>
      </w:r>
      <w:r w:rsidR="0030666F">
        <w:rPr>
          <w:rFonts w:eastAsia="Times New Roman" w:cs="Times New Roman"/>
        </w:rPr>
        <w:t>the CAEL standards</w:t>
      </w:r>
      <w:r w:rsidR="006F7DFC">
        <w:rPr>
          <w:rFonts w:eastAsia="Times New Roman" w:cs="Times New Roman"/>
        </w:rPr>
        <w:t xml:space="preserve">, </w:t>
      </w:r>
      <w:r w:rsidR="0030666F">
        <w:rPr>
          <w:rFonts w:eastAsia="Times New Roman" w:cs="Times New Roman"/>
        </w:rPr>
        <w:t>and the</w:t>
      </w:r>
      <w:r w:rsidR="006F7DFC">
        <w:rPr>
          <w:rFonts w:eastAsia="Times New Roman" w:cs="Times New Roman"/>
        </w:rPr>
        <w:t xml:space="preserve"> practices of ACE and NCCRS, </w:t>
      </w:r>
      <w:r w:rsidR="0030666F">
        <w:rPr>
          <w:rFonts w:eastAsia="Times New Roman" w:cs="Times New Roman"/>
        </w:rPr>
        <w:t xml:space="preserve">uniform </w:t>
      </w:r>
      <w:r w:rsidR="006F7DFC">
        <w:rPr>
          <w:rFonts w:eastAsia="Times New Roman" w:cs="Times New Roman"/>
        </w:rPr>
        <w:t xml:space="preserve">standards for </w:t>
      </w:r>
      <w:r w:rsidR="007E3B1B">
        <w:rPr>
          <w:rFonts w:eastAsia="Times New Roman" w:cs="Times New Roman"/>
        </w:rPr>
        <w:t xml:space="preserve">institutions of higher </w:t>
      </w:r>
      <w:r w:rsidR="00874DFB">
        <w:rPr>
          <w:rFonts w:eastAsia="Times New Roman" w:cs="Times New Roman"/>
        </w:rPr>
        <w:t>education</w:t>
      </w:r>
      <w:r w:rsidR="007E3B1B">
        <w:rPr>
          <w:rFonts w:eastAsia="Times New Roman" w:cs="Times New Roman"/>
        </w:rPr>
        <w:t xml:space="preserve"> to </w:t>
      </w:r>
      <w:r w:rsidR="006F7DFC">
        <w:rPr>
          <w:rFonts w:eastAsia="Times New Roman" w:cs="Times New Roman"/>
        </w:rPr>
        <w:t xml:space="preserve">assess </w:t>
      </w:r>
      <w:r w:rsidR="004953F8">
        <w:rPr>
          <w:rFonts w:eastAsia="Times New Roman" w:cs="Times New Roman"/>
        </w:rPr>
        <w:t>Non-Collegiate Instruction</w:t>
      </w:r>
      <w:r w:rsidR="0030666F">
        <w:rPr>
          <w:rFonts w:eastAsia="Times New Roman" w:cs="Times New Roman"/>
        </w:rPr>
        <w:t xml:space="preserve"> do not exist</w:t>
      </w:r>
      <w:r w:rsidR="004953F8">
        <w:rPr>
          <w:rFonts w:eastAsia="Times New Roman" w:cs="Times New Roman"/>
        </w:rPr>
        <w:t xml:space="preserve">. </w:t>
      </w:r>
      <w:r w:rsidR="006F7DFC">
        <w:rPr>
          <w:rFonts w:eastAsia="Times New Roman" w:cs="Times New Roman"/>
        </w:rPr>
        <w:t>The</w:t>
      </w:r>
      <w:r w:rsidR="007E3B1B">
        <w:rPr>
          <w:rFonts w:eastAsia="Times New Roman" w:cs="Times New Roman"/>
        </w:rPr>
        <w:t>refore, the</w:t>
      </w:r>
      <w:r w:rsidR="006F7DFC">
        <w:rPr>
          <w:rFonts w:eastAsia="Times New Roman" w:cs="Times New Roman"/>
        </w:rPr>
        <w:t xml:space="preserve"> </w:t>
      </w:r>
      <w:r w:rsidR="00230E2C">
        <w:rPr>
          <w:rFonts w:eastAsia="Times New Roman" w:cs="Times New Roman"/>
        </w:rPr>
        <w:t xml:space="preserve">objectives </w:t>
      </w:r>
      <w:r w:rsidR="006F7DFC">
        <w:rPr>
          <w:rFonts w:eastAsia="Times New Roman" w:cs="Times New Roman"/>
        </w:rPr>
        <w:t>of the consortium are to</w:t>
      </w:r>
      <w:r w:rsidR="006F6ADE">
        <w:rPr>
          <w:rFonts w:eastAsia="Times New Roman" w:cs="Times New Roman"/>
        </w:rPr>
        <w:t xml:space="preserve">: </w:t>
      </w:r>
    </w:p>
    <w:p w14:paraId="0AA3B403" w14:textId="30EC961A" w:rsidR="006F6ADE" w:rsidRPr="00AE27DB" w:rsidRDefault="007E3B1B" w:rsidP="00C34D97">
      <w:pPr>
        <w:pStyle w:val="ListParagraph"/>
        <w:numPr>
          <w:ilvl w:val="0"/>
          <w:numId w:val="19"/>
        </w:numPr>
        <w:spacing w:after="120"/>
        <w:ind w:left="720"/>
        <w:contextualSpacing w:val="0"/>
      </w:pPr>
      <w:r>
        <w:t>E</w:t>
      </w:r>
      <w:r w:rsidR="006F6ADE" w:rsidRPr="00AE27DB">
        <w:t>stablish a partnership among colleges and universities that serve adult learners to help them better address their students’ need</w:t>
      </w:r>
      <w:r>
        <w:t>s</w:t>
      </w:r>
      <w:r w:rsidR="006F6ADE" w:rsidRPr="00AE27DB">
        <w:t xml:space="preserve"> for affordable and timely degree completion. </w:t>
      </w:r>
    </w:p>
    <w:p w14:paraId="453D949B" w14:textId="2D047ADD" w:rsidR="006F6ADE" w:rsidRPr="00AE27DB" w:rsidRDefault="007E3B1B" w:rsidP="00C34D97">
      <w:pPr>
        <w:pStyle w:val="ListParagraph"/>
        <w:numPr>
          <w:ilvl w:val="0"/>
          <w:numId w:val="19"/>
        </w:numPr>
        <w:spacing w:after="120"/>
        <w:ind w:left="720"/>
        <w:contextualSpacing w:val="0"/>
      </w:pPr>
      <w:r>
        <w:t>D</w:t>
      </w:r>
      <w:r w:rsidR="006F6ADE" w:rsidRPr="00AE27DB">
        <w:t xml:space="preserve">evelop a set of </w:t>
      </w:r>
      <w:r w:rsidR="006F6ADE">
        <w:t xml:space="preserve">review </w:t>
      </w:r>
      <w:r w:rsidR="006F6ADE" w:rsidRPr="00AE27DB">
        <w:t xml:space="preserve">standards that will guide educational institutions in the evaluation of college-level learning </w:t>
      </w:r>
      <w:r w:rsidR="006F6ADE">
        <w:t>and competencies delivered</w:t>
      </w:r>
      <w:r>
        <w:t xml:space="preserve"> and/or </w:t>
      </w:r>
      <w:r w:rsidR="0085015B">
        <w:t>verified</w:t>
      </w:r>
      <w:r w:rsidR="0085015B" w:rsidRPr="00AE27DB">
        <w:t xml:space="preserve"> </w:t>
      </w:r>
      <w:r w:rsidR="006F6ADE" w:rsidRPr="00AE27DB">
        <w:t xml:space="preserve">through </w:t>
      </w:r>
      <w:r w:rsidR="006F6ADE">
        <w:t xml:space="preserve">organized, structured learning </w:t>
      </w:r>
      <w:r w:rsidR="006F6ADE" w:rsidRPr="00AE27DB">
        <w:t>experiences not sponsored</w:t>
      </w:r>
      <w:r>
        <w:t xml:space="preserve"> for credit</w:t>
      </w:r>
      <w:r w:rsidR="006F6ADE" w:rsidRPr="00AE27DB">
        <w:t xml:space="preserve"> by a</w:t>
      </w:r>
      <w:r w:rsidR="006F6ADE">
        <w:t>n</w:t>
      </w:r>
      <w:r w:rsidR="006F6ADE" w:rsidRPr="00AE27DB">
        <w:t xml:space="preserve"> accredited college or university.</w:t>
      </w:r>
    </w:p>
    <w:p w14:paraId="667ADD04" w14:textId="23C685A1" w:rsidR="006F6ADE" w:rsidRPr="00AE27DB" w:rsidRDefault="007E3B1B" w:rsidP="00C34D97">
      <w:pPr>
        <w:pStyle w:val="ListParagraph"/>
        <w:numPr>
          <w:ilvl w:val="0"/>
          <w:numId w:val="19"/>
        </w:numPr>
        <w:spacing w:after="120"/>
        <w:ind w:left="720"/>
        <w:contextualSpacing w:val="0"/>
      </w:pPr>
      <w:r>
        <w:t>C</w:t>
      </w:r>
      <w:r w:rsidR="006F6ADE" w:rsidRPr="00AE27DB">
        <w:t xml:space="preserve">reate a mechanism for the partner institutions to share information from credit recommendations they have developed </w:t>
      </w:r>
      <w:r w:rsidR="006F6ADE">
        <w:t xml:space="preserve">for such </w:t>
      </w:r>
      <w:r w:rsidR="004953F8">
        <w:t>Non-Collegiate Instruction</w:t>
      </w:r>
      <w:r w:rsidR="006F6ADE">
        <w:t xml:space="preserve"> </w:t>
      </w:r>
      <w:r w:rsidR="006F6ADE" w:rsidRPr="00AE27DB">
        <w:t xml:space="preserve">in order to allow all partners </w:t>
      </w:r>
      <w:r w:rsidR="006F6ADE" w:rsidRPr="00E137E3">
        <w:t>to award the recommended credi</w:t>
      </w:r>
      <w:r w:rsidR="006F6ADE">
        <w:t xml:space="preserve">t directly based on official documentation of successful completion, without the need to transfer the credits </w:t>
      </w:r>
      <w:r w:rsidR="006F6ADE" w:rsidRPr="00E137E3">
        <w:t>from the reviewing institution</w:t>
      </w:r>
      <w:r w:rsidR="006F6ADE" w:rsidRPr="00AE27DB">
        <w:t xml:space="preserve">. </w:t>
      </w:r>
    </w:p>
    <w:p w14:paraId="57AF7FDA" w14:textId="315C4067" w:rsidR="00BF3986" w:rsidRDefault="00BC2D1F" w:rsidP="00C34D97">
      <w:pPr>
        <w:pStyle w:val="SectionHeading"/>
        <w:spacing w:before="240"/>
      </w:pPr>
      <w:r w:rsidRPr="00BC2D1F">
        <w:t xml:space="preserve">Consortium Standards for Evaluating </w:t>
      </w:r>
      <w:r w:rsidR="004953F8">
        <w:t>Non-Collegiate Instruction</w:t>
      </w:r>
    </w:p>
    <w:p w14:paraId="02C8B261" w14:textId="03CC0C3D" w:rsidR="00BF3986" w:rsidRDefault="00897D43" w:rsidP="00232EC0">
      <w:pPr>
        <w:rPr>
          <w:rFonts w:eastAsia="Times New Roman" w:cs="Times New Roman"/>
        </w:rPr>
      </w:pPr>
      <w:r w:rsidRPr="00897D43">
        <w:rPr>
          <w:rFonts w:eastAsia="Times New Roman" w:cs="Times New Roman"/>
        </w:rPr>
        <w:t xml:space="preserve">The immediate goal for the Consortium is to increase the availability of credit for </w:t>
      </w:r>
      <w:r w:rsidR="004953F8">
        <w:rPr>
          <w:rFonts w:eastAsia="Times New Roman" w:cs="Times New Roman"/>
        </w:rPr>
        <w:t>Non-Collegiate Instruction</w:t>
      </w:r>
      <w:r w:rsidRPr="00897D43">
        <w:rPr>
          <w:rFonts w:eastAsia="Times New Roman" w:cs="Times New Roman"/>
        </w:rPr>
        <w:t xml:space="preserve"> by agreeing to accept CACE member institutional reviews and credit recommendations in accordance with each institution’s own policies</w:t>
      </w:r>
      <w:r w:rsidR="004953F8">
        <w:rPr>
          <w:rFonts w:eastAsia="Times New Roman" w:cs="Times New Roman"/>
        </w:rPr>
        <w:t xml:space="preserve">. </w:t>
      </w:r>
      <w:r w:rsidR="00BC2D1F" w:rsidRPr="00BC2D1F">
        <w:rPr>
          <w:rFonts w:eastAsia="Times New Roman" w:cs="Times New Roman"/>
        </w:rPr>
        <w:t>This goal will be accomplished by the member institutions adhering to the following stand</w:t>
      </w:r>
      <w:r w:rsidR="0082107F">
        <w:rPr>
          <w:rFonts w:eastAsia="Times New Roman" w:cs="Times New Roman"/>
        </w:rPr>
        <w:t>ards for conducting the reviews.</w:t>
      </w:r>
    </w:p>
    <w:p w14:paraId="686FE118" w14:textId="77777777" w:rsidR="00DF45CC" w:rsidRDefault="00DF45CC" w:rsidP="00CE0876">
      <w:pPr>
        <w:pStyle w:val="SectionSubHeading"/>
      </w:pPr>
      <w:r>
        <w:t>Terminology used in the Standards</w:t>
      </w:r>
    </w:p>
    <w:p w14:paraId="271B35DB" w14:textId="17F56E55" w:rsidR="00DF45CC" w:rsidRPr="00C1458B" w:rsidRDefault="0067744F" w:rsidP="00355602">
      <w:pPr>
        <w:pStyle w:val="SectionSub-SubHead"/>
        <w:numPr>
          <w:ilvl w:val="0"/>
          <w:numId w:val="20"/>
        </w:numPr>
      </w:pPr>
      <w:r>
        <w:rPr>
          <w:i/>
        </w:rPr>
        <w:t>Evaluator</w:t>
      </w:r>
      <w:r w:rsidR="009E63FF" w:rsidRPr="00C1458B">
        <w:t xml:space="preserve">: </w:t>
      </w:r>
      <w:r w:rsidR="006F2E0A">
        <w:t>The</w:t>
      </w:r>
      <w:r w:rsidR="009E63FF" w:rsidRPr="00C1458B">
        <w:t xml:space="preserve"> </w:t>
      </w:r>
      <w:r w:rsidR="00DD683F">
        <w:t xml:space="preserve">educational </w:t>
      </w:r>
      <w:r w:rsidR="006F2E0A">
        <w:t>i</w:t>
      </w:r>
      <w:r w:rsidR="009E63FF" w:rsidRPr="00C1458B">
        <w:t xml:space="preserve">nstitution </w:t>
      </w:r>
      <w:r w:rsidR="006F2E0A">
        <w:t xml:space="preserve">or organization </w:t>
      </w:r>
      <w:r w:rsidR="009E63FF" w:rsidRPr="00C1458B">
        <w:t xml:space="preserve">that </w:t>
      </w:r>
      <w:r w:rsidR="00E918CC" w:rsidRPr="00C1458B">
        <w:t>conduct</w:t>
      </w:r>
      <w:r w:rsidR="009E63FF" w:rsidRPr="00C1458B">
        <w:t xml:space="preserve">s the assessment of </w:t>
      </w:r>
      <w:r w:rsidR="004953F8">
        <w:t>Non-Collegiate Instruction</w:t>
      </w:r>
      <w:r w:rsidR="009E63FF" w:rsidRPr="00C1458B">
        <w:t>.</w:t>
      </w:r>
    </w:p>
    <w:p w14:paraId="59EDDEC2" w14:textId="27896489" w:rsidR="00DF45CC" w:rsidRPr="00C1458B" w:rsidRDefault="00DF45CC" w:rsidP="00355602">
      <w:pPr>
        <w:pStyle w:val="SectionSub-SubHead"/>
        <w:numPr>
          <w:ilvl w:val="0"/>
          <w:numId w:val="20"/>
        </w:numPr>
      </w:pPr>
      <w:r w:rsidRPr="00506FBA">
        <w:rPr>
          <w:i/>
        </w:rPr>
        <w:t>Sponsor</w:t>
      </w:r>
      <w:r w:rsidR="00B4793B" w:rsidRPr="00C1458B">
        <w:t xml:space="preserve">: </w:t>
      </w:r>
      <w:r w:rsidR="00DD683F">
        <w:t>The o</w:t>
      </w:r>
      <w:r w:rsidR="00DD683F" w:rsidRPr="00C1458B">
        <w:t xml:space="preserve">rganization </w:t>
      </w:r>
      <w:r w:rsidR="00B4793B" w:rsidRPr="00C1458B">
        <w:t>that administers</w:t>
      </w:r>
      <w:r w:rsidR="004573B6">
        <w:t xml:space="preserve"> and</w:t>
      </w:r>
      <w:r w:rsidR="00B4793B" w:rsidRPr="00C1458B">
        <w:t xml:space="preserve"> delivers the </w:t>
      </w:r>
      <w:r w:rsidR="00926669">
        <w:t>o</w:t>
      </w:r>
      <w:r w:rsidR="00926669" w:rsidRPr="00926669">
        <w:t>rganized</w:t>
      </w:r>
      <w:r w:rsidR="00021C0C">
        <w:t>,</w:t>
      </w:r>
      <w:r w:rsidR="00926669" w:rsidRPr="00926669">
        <w:t xml:space="preserve"> structured learning experience</w:t>
      </w:r>
      <w:r w:rsidR="0067744F">
        <w:t xml:space="preserve"> or issues the credential</w:t>
      </w:r>
      <w:r w:rsidR="00926669" w:rsidRPr="00C1458B">
        <w:t xml:space="preserve"> </w:t>
      </w:r>
      <w:r w:rsidR="001B5E00" w:rsidRPr="00C1458B">
        <w:t>being</w:t>
      </w:r>
      <w:r w:rsidR="00B4793B" w:rsidRPr="00C1458B">
        <w:t xml:space="preserve"> evaluated.</w:t>
      </w:r>
    </w:p>
    <w:p w14:paraId="1587AE44" w14:textId="4EFB360E" w:rsidR="00DF45CC" w:rsidRPr="00C1458B" w:rsidRDefault="0067744F" w:rsidP="00355602">
      <w:pPr>
        <w:pStyle w:val="SectionSub-SubHead"/>
        <w:numPr>
          <w:ilvl w:val="0"/>
          <w:numId w:val="20"/>
        </w:numPr>
      </w:pPr>
      <w:r w:rsidRPr="0067744F">
        <w:rPr>
          <w:i/>
        </w:rPr>
        <w:t>Learning Experience</w:t>
      </w:r>
      <w:r w:rsidR="00B4793B" w:rsidRPr="00C1458B">
        <w:t xml:space="preserve">: The specific </w:t>
      </w:r>
      <w:r w:rsidR="004953F8">
        <w:t>Non-Collegiate Instruction</w:t>
      </w:r>
      <w:r w:rsidR="00B4793B" w:rsidRPr="00C1458B">
        <w:t xml:space="preserve"> or related </w:t>
      </w:r>
      <w:r w:rsidR="00071D5E">
        <w:t>learning</w:t>
      </w:r>
      <w:r w:rsidR="00C1458B">
        <w:t xml:space="preserve"> that is </w:t>
      </w:r>
      <w:r w:rsidR="004573B6">
        <w:t xml:space="preserve">being </w:t>
      </w:r>
      <w:r w:rsidR="00C1458B">
        <w:t>evalua</w:t>
      </w:r>
      <w:r w:rsidR="0082107F">
        <w:t xml:space="preserve">ted. </w:t>
      </w:r>
    </w:p>
    <w:p w14:paraId="11352EDD" w14:textId="4126C7C4" w:rsidR="00DF45CC" w:rsidRDefault="004953F8" w:rsidP="00355602">
      <w:pPr>
        <w:pStyle w:val="SectionSub-SubHead"/>
        <w:numPr>
          <w:ilvl w:val="0"/>
          <w:numId w:val="20"/>
        </w:numPr>
      </w:pPr>
      <w:r>
        <w:rPr>
          <w:i/>
        </w:rPr>
        <w:t>Non-Collegiate Instruction</w:t>
      </w:r>
      <w:r w:rsidR="00B4793B" w:rsidRPr="00C1458B">
        <w:t xml:space="preserve">: </w:t>
      </w:r>
      <w:r w:rsidR="009605D7">
        <w:t>O</w:t>
      </w:r>
      <w:r w:rsidR="00B4793B" w:rsidRPr="00C1458B">
        <w:t xml:space="preserve">rganized, structured learning experiences not </w:t>
      </w:r>
      <w:r w:rsidR="00A2689D">
        <w:t xml:space="preserve">sponsored </w:t>
      </w:r>
      <w:r w:rsidR="0082107F">
        <w:t>for credit</w:t>
      </w:r>
      <w:r w:rsidR="00B4793B" w:rsidRPr="00C1458B">
        <w:t xml:space="preserve"> by an accredited college or university</w:t>
      </w:r>
      <w:r>
        <w:t>. Non-Collegiate Instruction</w:t>
      </w:r>
      <w:r w:rsidR="005D1D96" w:rsidRPr="005D1D96">
        <w:t xml:space="preserve"> can take different forms including instructor-led training programs such as workplace learning </w:t>
      </w:r>
      <w:r w:rsidR="005D1D96" w:rsidRPr="005D1D96">
        <w:lastRenderedPageBreak/>
        <w:t>and</w:t>
      </w:r>
      <w:r w:rsidR="005D1D96">
        <w:t>/or</w:t>
      </w:r>
      <w:r w:rsidR="005D1D96" w:rsidRPr="005D1D96">
        <w:t xml:space="preserve"> experiential learning </w:t>
      </w:r>
      <w:r w:rsidR="005D1D96">
        <w:t>verified</w:t>
      </w:r>
      <w:r w:rsidR="005D1D96" w:rsidRPr="005D1D96">
        <w:t xml:space="preserve"> through exam or other measurement of competencies such as professional licenses or credentials</w:t>
      </w:r>
      <w:r w:rsidR="005D1D96">
        <w:t>.</w:t>
      </w:r>
    </w:p>
    <w:p w14:paraId="5F163AD0" w14:textId="29A69649" w:rsidR="00D05B20" w:rsidRPr="00FC205F" w:rsidRDefault="00B55B2D" w:rsidP="00CE0876">
      <w:pPr>
        <w:pStyle w:val="SectionSubHeading"/>
      </w:pPr>
      <w:r>
        <w:t>Evaluator</w:t>
      </w:r>
      <w:r w:rsidR="00375C1C" w:rsidRPr="00FC205F">
        <w:t xml:space="preserve"> </w:t>
      </w:r>
      <w:r w:rsidR="006427E7" w:rsidRPr="00FC205F">
        <w:t>Administrative Standards</w:t>
      </w:r>
    </w:p>
    <w:p w14:paraId="72DB2676" w14:textId="3BA62419" w:rsidR="00207DD6" w:rsidRDefault="00207DD6" w:rsidP="00355602">
      <w:pPr>
        <w:pStyle w:val="SectionSub-SubHead"/>
        <w:numPr>
          <w:ilvl w:val="0"/>
          <w:numId w:val="21"/>
        </w:numPr>
      </w:pPr>
      <w:r w:rsidRPr="00050FE7">
        <w:t xml:space="preserve">Written policies and procedures are in place </w:t>
      </w:r>
      <w:r>
        <w:t>for</w:t>
      </w:r>
      <w:r w:rsidR="00FC205F">
        <w:t xml:space="preserve"> </w:t>
      </w:r>
      <w:r>
        <w:t xml:space="preserve">the evaluation of </w:t>
      </w:r>
      <w:r w:rsidR="004953F8">
        <w:t>Non-Collegiate Instruction</w:t>
      </w:r>
      <w:r w:rsidRPr="00050FE7">
        <w:t xml:space="preserve"> </w:t>
      </w:r>
      <w:r>
        <w:t>and award of credit.</w:t>
      </w:r>
    </w:p>
    <w:p w14:paraId="22A95097" w14:textId="77777777" w:rsidR="008C6812" w:rsidRPr="007E1A18" w:rsidRDefault="008C6812" w:rsidP="00355602">
      <w:pPr>
        <w:pStyle w:val="SectionSub-SubHead"/>
        <w:numPr>
          <w:ilvl w:val="0"/>
          <w:numId w:val="21"/>
        </w:numPr>
      </w:pPr>
      <w:r>
        <w:t>The Evaluator appoints an institutional representative to provide oversight of the evaluation process and ensure compliance with policies and procedures.</w:t>
      </w:r>
    </w:p>
    <w:p w14:paraId="5C5F6218" w14:textId="3C7919E6" w:rsidR="00050FE7" w:rsidRPr="00FC205F" w:rsidRDefault="00CB7E9E" w:rsidP="00355602">
      <w:pPr>
        <w:pStyle w:val="SectionSub-SubHead"/>
        <w:numPr>
          <w:ilvl w:val="0"/>
          <w:numId w:val="21"/>
        </w:numPr>
      </w:pPr>
      <w:r>
        <w:t>P</w:t>
      </w:r>
      <w:r w:rsidR="00050FE7">
        <w:t xml:space="preserve">olicies and procedures </w:t>
      </w:r>
      <w:r w:rsidR="00EE0F61">
        <w:t>are</w:t>
      </w:r>
      <w:r w:rsidR="00050FE7">
        <w:t xml:space="preserve"> transparent to a</w:t>
      </w:r>
      <w:r w:rsidR="00912C0C">
        <w:t xml:space="preserve">ll constituents, including the </w:t>
      </w:r>
      <w:r w:rsidR="006B5330">
        <w:t>S</w:t>
      </w:r>
      <w:r w:rsidR="00050FE7">
        <w:t xml:space="preserve">ponsor and members of this consortium. </w:t>
      </w:r>
    </w:p>
    <w:p w14:paraId="52431BD8" w14:textId="3EC0DC1E" w:rsidR="00CB7E9E" w:rsidRPr="00050FE7" w:rsidRDefault="00CB7E9E" w:rsidP="00355602">
      <w:pPr>
        <w:pStyle w:val="SectionSub-SubHead"/>
        <w:numPr>
          <w:ilvl w:val="0"/>
          <w:numId w:val="21"/>
        </w:numPr>
      </w:pPr>
      <w:r>
        <w:t xml:space="preserve">Policies and procedures are reviewed and adopted by standard institutional practices and </w:t>
      </w:r>
      <w:r w:rsidR="00086970">
        <w:t xml:space="preserve">they </w:t>
      </w:r>
      <w:r>
        <w:t xml:space="preserve">are </w:t>
      </w:r>
      <w:r w:rsidR="00FC205F">
        <w:t>uniformly</w:t>
      </w:r>
      <w:r>
        <w:t xml:space="preserve"> applied throughout the institution. </w:t>
      </w:r>
    </w:p>
    <w:p w14:paraId="7390013C" w14:textId="02F80F85" w:rsidR="004E4BF6" w:rsidRDefault="004E4BF6" w:rsidP="00355602">
      <w:pPr>
        <w:pStyle w:val="SectionSub-SubHead"/>
        <w:numPr>
          <w:ilvl w:val="0"/>
          <w:numId w:val="21"/>
        </w:numPr>
      </w:pPr>
      <w:r w:rsidRPr="00D05B20">
        <w:t xml:space="preserve">The </w:t>
      </w:r>
      <w:r w:rsidR="006B5330">
        <w:t>E</w:t>
      </w:r>
      <w:r w:rsidR="00017EB2">
        <w:t xml:space="preserve">valuator ensures the </w:t>
      </w:r>
      <w:r w:rsidRPr="00D05B20">
        <w:t>review is conducted by a team</w:t>
      </w:r>
      <w:r w:rsidR="00375C1C" w:rsidRPr="00D05B20">
        <w:t xml:space="preserve"> </w:t>
      </w:r>
      <w:r w:rsidR="009D3AAC">
        <w:t xml:space="preserve">that </w:t>
      </w:r>
      <w:r w:rsidR="00375C1C" w:rsidRPr="00D05B20">
        <w:t>includ</w:t>
      </w:r>
      <w:r w:rsidR="009D3AAC">
        <w:t>es</w:t>
      </w:r>
      <w:r w:rsidR="007E1A18">
        <w:t xml:space="preserve"> academically-qualified subject matter experts drawn from internal </w:t>
      </w:r>
      <w:r w:rsidR="009E22D8">
        <w:t>and/or external college faculty</w:t>
      </w:r>
      <w:r w:rsidR="000F5E2D">
        <w:t xml:space="preserve">. Additional team members may include </w:t>
      </w:r>
      <w:r w:rsidR="007E1A18">
        <w:t xml:space="preserve">non-academic subject matter experts and </w:t>
      </w:r>
      <w:r w:rsidR="009E22D8">
        <w:t xml:space="preserve">facilitating </w:t>
      </w:r>
      <w:r w:rsidR="007E1A18">
        <w:t>personnel</w:t>
      </w:r>
      <w:r w:rsidR="009B0AF3">
        <w:t>.</w:t>
      </w:r>
    </w:p>
    <w:p w14:paraId="768C5DD8" w14:textId="576A370E" w:rsidR="00DF45CC" w:rsidRDefault="00207DD6" w:rsidP="00355602">
      <w:pPr>
        <w:pStyle w:val="SectionSub-SubHead"/>
        <w:numPr>
          <w:ilvl w:val="0"/>
          <w:numId w:val="21"/>
        </w:numPr>
      </w:pPr>
      <w:r w:rsidRPr="00D05B20">
        <w:t xml:space="preserve">Credit </w:t>
      </w:r>
      <w:r>
        <w:t>recommendations</w:t>
      </w:r>
      <w:r w:rsidR="00165553">
        <w:t xml:space="preserve"> and awards</w:t>
      </w:r>
      <w:r>
        <w:t xml:space="preserve"> </w:t>
      </w:r>
      <w:r w:rsidRPr="00D05B20">
        <w:t>align with the institution's accrediting agency/</w:t>
      </w:r>
      <w:proofErr w:type="spellStart"/>
      <w:r w:rsidRPr="00D05B20">
        <w:t>ies</w:t>
      </w:r>
      <w:proofErr w:type="spellEnd"/>
      <w:r w:rsidRPr="00D05B20">
        <w:t xml:space="preserve"> and </w:t>
      </w:r>
      <w:r w:rsidR="00DF45CC">
        <w:t>federal and state requirements</w:t>
      </w:r>
      <w:r w:rsidR="00165553">
        <w:t>, as well as the institution’s own standards for recommending and awarding academic credit</w:t>
      </w:r>
      <w:r w:rsidR="00DF45CC">
        <w:t>.</w:t>
      </w:r>
    </w:p>
    <w:p w14:paraId="4CAD97AA" w14:textId="468E5043" w:rsidR="00CB7E9E" w:rsidRPr="00FC205F" w:rsidRDefault="004E4BF6" w:rsidP="00355602">
      <w:pPr>
        <w:pStyle w:val="SectionSub-SubHead"/>
        <w:numPr>
          <w:ilvl w:val="0"/>
          <w:numId w:val="21"/>
        </w:numPr>
      </w:pPr>
      <w:r w:rsidRPr="00D05B20">
        <w:t xml:space="preserve">The </w:t>
      </w:r>
      <w:r w:rsidR="00B55B2D">
        <w:t>Evaluator</w:t>
      </w:r>
      <w:r w:rsidRPr="00D05B20">
        <w:t xml:space="preserve"> establish</w:t>
      </w:r>
      <w:r w:rsidR="00EE0F61">
        <w:t>es</w:t>
      </w:r>
      <w:r w:rsidRPr="00D05B20">
        <w:t xml:space="preserve"> a time </w:t>
      </w:r>
      <w:r w:rsidR="00017EB2">
        <w:t>period</w:t>
      </w:r>
      <w:r w:rsidRPr="00D05B20">
        <w:t xml:space="preserve"> for </w:t>
      </w:r>
      <w:r w:rsidR="009E22D8">
        <w:t xml:space="preserve">the </w:t>
      </w:r>
      <w:r w:rsidRPr="00D05B20">
        <w:t xml:space="preserve">validity of credit </w:t>
      </w:r>
      <w:r w:rsidR="00DA5CD2">
        <w:t>recommendations</w:t>
      </w:r>
      <w:r w:rsidR="00DA5CD2" w:rsidRPr="00D05B20">
        <w:t xml:space="preserve"> </w:t>
      </w:r>
      <w:r w:rsidRPr="00D05B20">
        <w:t xml:space="preserve">and </w:t>
      </w:r>
      <w:r w:rsidR="004A3381">
        <w:t>the</w:t>
      </w:r>
      <w:r w:rsidR="004A3381" w:rsidRPr="00D05B20">
        <w:t xml:space="preserve"> </w:t>
      </w:r>
      <w:r w:rsidRPr="00D05B20">
        <w:t>periodic re</w:t>
      </w:r>
      <w:r w:rsidR="004A3381">
        <w:t>-</w:t>
      </w:r>
      <w:r w:rsidRPr="00D05B20">
        <w:t xml:space="preserve">evaluation of the </w:t>
      </w:r>
      <w:r w:rsidR="006B5330">
        <w:t>Learning Experience</w:t>
      </w:r>
      <w:r w:rsidRPr="00D05B20">
        <w:t>.</w:t>
      </w:r>
    </w:p>
    <w:p w14:paraId="3AA03412" w14:textId="3F50D806" w:rsidR="005F5667" w:rsidRDefault="00EE0F61" w:rsidP="00355602">
      <w:pPr>
        <w:pStyle w:val="SectionSub-SubHead"/>
        <w:numPr>
          <w:ilvl w:val="0"/>
          <w:numId w:val="21"/>
        </w:numPr>
      </w:pPr>
      <w:r w:rsidRPr="00D05B20">
        <w:t xml:space="preserve">The </w:t>
      </w:r>
      <w:r w:rsidR="00B55B2D">
        <w:t>Evaluator</w:t>
      </w:r>
      <w:r w:rsidRPr="00D05B20">
        <w:t xml:space="preserve"> </w:t>
      </w:r>
      <w:r>
        <w:t>maintains</w:t>
      </w:r>
      <w:r w:rsidR="005F5667">
        <w:t xml:space="preserve"> records indicating </w:t>
      </w:r>
      <w:r w:rsidR="00CA1327">
        <w:t>institutional</w:t>
      </w:r>
      <w:r w:rsidR="005F5667">
        <w:t xml:space="preserve"> approval of </w:t>
      </w:r>
      <w:r w:rsidR="009E22D8">
        <w:t xml:space="preserve">the </w:t>
      </w:r>
      <w:r w:rsidR="005F5667">
        <w:t xml:space="preserve">credit </w:t>
      </w:r>
      <w:r w:rsidR="00CA1327">
        <w:t>recommendation</w:t>
      </w:r>
      <w:r w:rsidR="009E22D8">
        <w:t>s</w:t>
      </w:r>
      <w:r w:rsidR="005F5667">
        <w:t xml:space="preserve">. </w:t>
      </w:r>
    </w:p>
    <w:p w14:paraId="56ADC251" w14:textId="1387BFCB" w:rsidR="00BA7A7A" w:rsidRPr="00FC205F" w:rsidRDefault="00BA7A7A" w:rsidP="00CE0876">
      <w:pPr>
        <w:pStyle w:val="SectionSubHeading"/>
      </w:pPr>
      <w:r w:rsidRPr="00FC205F">
        <w:t xml:space="preserve">Relationship </w:t>
      </w:r>
      <w:r w:rsidR="004A3381">
        <w:t>b</w:t>
      </w:r>
      <w:r w:rsidR="004A3381" w:rsidRPr="00FC205F">
        <w:t xml:space="preserve">etween </w:t>
      </w:r>
      <w:r w:rsidRPr="00FC205F">
        <w:t xml:space="preserve">the </w:t>
      </w:r>
      <w:r w:rsidR="00CC549D">
        <w:t>Evaluator</w:t>
      </w:r>
      <w:r w:rsidRPr="00FC205F">
        <w:t xml:space="preserve"> and </w:t>
      </w:r>
      <w:r w:rsidR="00CC549D">
        <w:t>Sponsor</w:t>
      </w:r>
    </w:p>
    <w:p w14:paraId="630487D2" w14:textId="67110E73" w:rsidR="00207DD6" w:rsidRDefault="00207DD6" w:rsidP="00355602">
      <w:pPr>
        <w:pStyle w:val="SectionSub-SubHead"/>
        <w:numPr>
          <w:ilvl w:val="0"/>
          <w:numId w:val="22"/>
        </w:numPr>
      </w:pPr>
      <w:r w:rsidRPr="00D05B20">
        <w:t xml:space="preserve">The </w:t>
      </w:r>
      <w:r w:rsidR="00CC549D">
        <w:t>Evaluator</w:t>
      </w:r>
      <w:r w:rsidRPr="00D05B20">
        <w:t xml:space="preserve"> </w:t>
      </w:r>
      <w:r w:rsidR="00EE0F61">
        <w:t>has</w:t>
      </w:r>
      <w:r w:rsidR="00DF45CC" w:rsidRPr="00D05B20">
        <w:t xml:space="preserve"> </w:t>
      </w:r>
      <w:r w:rsidRPr="00D05B20">
        <w:t xml:space="preserve">a screening process in place to determine eligibility for </w:t>
      </w:r>
      <w:r w:rsidR="00446504">
        <w:t>the</w:t>
      </w:r>
      <w:r w:rsidRPr="00D05B20">
        <w:t xml:space="preserve"> review</w:t>
      </w:r>
      <w:r w:rsidR="00446504">
        <w:t xml:space="preserve"> of </w:t>
      </w:r>
      <w:r w:rsidR="006B5330">
        <w:t>the Learning Experience</w:t>
      </w:r>
      <w:r w:rsidRPr="00D05B20">
        <w:t xml:space="preserve">. </w:t>
      </w:r>
    </w:p>
    <w:p w14:paraId="3FDB80CB" w14:textId="4F6679A9" w:rsidR="00DF45CC" w:rsidRDefault="00DF45CC" w:rsidP="00355602">
      <w:pPr>
        <w:pStyle w:val="SectionSub-SubHead"/>
        <w:numPr>
          <w:ilvl w:val="0"/>
          <w:numId w:val="22"/>
        </w:numPr>
      </w:pPr>
      <w:r w:rsidRPr="00BA7A7A">
        <w:t xml:space="preserve">The </w:t>
      </w:r>
      <w:r w:rsidR="00CC549D">
        <w:t>Evaluator</w:t>
      </w:r>
      <w:r w:rsidRPr="00BA7A7A">
        <w:t xml:space="preserve"> </w:t>
      </w:r>
      <w:r w:rsidR="00B55B2D">
        <w:t>provides</w:t>
      </w:r>
      <w:r w:rsidRPr="00BA7A7A">
        <w:t xml:space="preserve"> the </w:t>
      </w:r>
      <w:r w:rsidR="00CC549D">
        <w:t>Sponsor</w:t>
      </w:r>
      <w:r w:rsidRPr="00BA7A7A">
        <w:t xml:space="preserve"> </w:t>
      </w:r>
      <w:r w:rsidR="00EE0F61">
        <w:t xml:space="preserve">with </w:t>
      </w:r>
      <w:r w:rsidR="009E1EAE">
        <w:t xml:space="preserve">a summary of </w:t>
      </w:r>
      <w:r>
        <w:t xml:space="preserve">expectations </w:t>
      </w:r>
      <w:r w:rsidR="009E1EAE">
        <w:t>for</w:t>
      </w:r>
      <w:r>
        <w:t xml:space="preserve"> the review</w:t>
      </w:r>
      <w:r w:rsidR="009E1EAE">
        <w:t xml:space="preserve"> process</w:t>
      </w:r>
      <w:r w:rsidR="00EE0F61">
        <w:t>.</w:t>
      </w:r>
    </w:p>
    <w:p w14:paraId="62E8CF19" w14:textId="490C28B9" w:rsidR="004E4BF6" w:rsidRPr="00D05B20" w:rsidRDefault="009D3AAC" w:rsidP="00355602">
      <w:pPr>
        <w:pStyle w:val="SectionSub-SubHead"/>
        <w:numPr>
          <w:ilvl w:val="0"/>
          <w:numId w:val="22"/>
        </w:numPr>
      </w:pPr>
      <w:r>
        <w:t xml:space="preserve">The </w:t>
      </w:r>
      <w:r w:rsidR="00CC549D">
        <w:t>Evaluator</w:t>
      </w:r>
      <w:r w:rsidR="005327B2" w:rsidRPr="00D05B20">
        <w:t xml:space="preserve"> inform</w:t>
      </w:r>
      <w:r w:rsidR="00EE0F61">
        <w:t>s</w:t>
      </w:r>
      <w:r w:rsidR="005327B2" w:rsidRPr="00D05B20">
        <w:t xml:space="preserve"> </w:t>
      </w:r>
      <w:r>
        <w:t xml:space="preserve">the </w:t>
      </w:r>
      <w:r w:rsidR="00CC549D">
        <w:t>Sponsor</w:t>
      </w:r>
      <w:r w:rsidR="005327B2" w:rsidRPr="00D05B20">
        <w:t xml:space="preserve"> of </w:t>
      </w:r>
      <w:r w:rsidR="00446504">
        <w:t>its</w:t>
      </w:r>
      <w:r>
        <w:t xml:space="preserve"> </w:t>
      </w:r>
      <w:r w:rsidR="005327B2" w:rsidRPr="00D05B20">
        <w:t xml:space="preserve">rationale for credit award/denial and </w:t>
      </w:r>
      <w:r w:rsidR="00EE0F61">
        <w:t>has</w:t>
      </w:r>
      <w:r w:rsidR="004E4BF6" w:rsidRPr="00D05B20">
        <w:t xml:space="preserve"> an appeal process in place</w:t>
      </w:r>
      <w:r>
        <w:t>.</w:t>
      </w:r>
    </w:p>
    <w:p w14:paraId="185DECBE" w14:textId="299C357E" w:rsidR="00DF45CC" w:rsidRDefault="007734B3" w:rsidP="00355602">
      <w:pPr>
        <w:pStyle w:val="SectionSub-SubHead"/>
        <w:numPr>
          <w:ilvl w:val="0"/>
          <w:numId w:val="22"/>
        </w:numPr>
      </w:pPr>
      <w:r>
        <w:t xml:space="preserve">The </w:t>
      </w:r>
      <w:r w:rsidR="00CC549D">
        <w:t>Sponsor</w:t>
      </w:r>
      <w:r w:rsidR="00BA7A7A">
        <w:t xml:space="preserve"> </w:t>
      </w:r>
      <w:r w:rsidR="002E12FC">
        <w:t>provide</w:t>
      </w:r>
      <w:r w:rsidR="00EE0F61">
        <w:t>s</w:t>
      </w:r>
      <w:r>
        <w:t xml:space="preserve"> the </w:t>
      </w:r>
      <w:r w:rsidR="00CC549D">
        <w:t>Evaluator</w:t>
      </w:r>
      <w:r>
        <w:t xml:space="preserve"> with materials </w:t>
      </w:r>
      <w:r w:rsidRPr="007734B3">
        <w:t>sufficient to</w:t>
      </w:r>
      <w:r>
        <w:t xml:space="preserve"> conduct its evaluation</w:t>
      </w:r>
      <w:r w:rsidRPr="007734B3">
        <w:t>.</w:t>
      </w:r>
      <w:r w:rsidR="00DF45CC" w:rsidRPr="00DF45CC">
        <w:t xml:space="preserve"> </w:t>
      </w:r>
    </w:p>
    <w:p w14:paraId="664FF5C2" w14:textId="20D3CBFA" w:rsidR="00DF45CC" w:rsidRPr="00DF45CC" w:rsidRDefault="00EE0F61" w:rsidP="00355602">
      <w:pPr>
        <w:pStyle w:val="SectionSub-SubHead"/>
        <w:numPr>
          <w:ilvl w:val="0"/>
          <w:numId w:val="22"/>
        </w:numPr>
      </w:pPr>
      <w:r>
        <w:t xml:space="preserve">The </w:t>
      </w:r>
      <w:r w:rsidR="00CC549D">
        <w:t>Evaluator</w:t>
      </w:r>
      <w:r>
        <w:t xml:space="preserve">’s fees are </w:t>
      </w:r>
      <w:r w:rsidR="00DF45CC" w:rsidRPr="00D05B20">
        <w:t xml:space="preserve">based on the costs of review, not the resulting credit </w:t>
      </w:r>
      <w:r w:rsidR="00DF45CC">
        <w:t>recommendation</w:t>
      </w:r>
      <w:r w:rsidR="00DF45CC" w:rsidRPr="00D05B20">
        <w:t>.</w:t>
      </w:r>
    </w:p>
    <w:p w14:paraId="24941148" w14:textId="5A25234C" w:rsidR="007734B3" w:rsidRPr="00912C0C" w:rsidRDefault="00DF45CC" w:rsidP="00355602">
      <w:pPr>
        <w:pStyle w:val="SectionSub-SubHead"/>
        <w:numPr>
          <w:ilvl w:val="0"/>
          <w:numId w:val="22"/>
        </w:numPr>
      </w:pPr>
      <w:r>
        <w:t xml:space="preserve">The </w:t>
      </w:r>
      <w:r w:rsidR="00CC549D">
        <w:t>Sponsor</w:t>
      </w:r>
      <w:r>
        <w:t xml:space="preserve"> </w:t>
      </w:r>
      <w:r w:rsidRPr="00DF45CC">
        <w:t>inform</w:t>
      </w:r>
      <w:r w:rsidR="00CE461E">
        <w:t>s</w:t>
      </w:r>
      <w:r w:rsidRPr="00DF45CC">
        <w:t xml:space="preserve"> the </w:t>
      </w:r>
      <w:r w:rsidR="00CC549D">
        <w:t>Evaluator</w:t>
      </w:r>
      <w:r w:rsidRPr="00DF45CC">
        <w:t xml:space="preserve"> of any changes made to the curriculum during the credit recommendation validity period.</w:t>
      </w:r>
    </w:p>
    <w:p w14:paraId="546E9B39" w14:textId="77777777" w:rsidR="00355602" w:rsidRDefault="00355602" w:rsidP="00CE0876">
      <w:pPr>
        <w:pStyle w:val="SectionSubHeading"/>
      </w:pPr>
      <w:r>
        <w:br w:type="page"/>
      </w:r>
    </w:p>
    <w:p w14:paraId="2CA439FE" w14:textId="4AB9C95C" w:rsidR="000754A2" w:rsidRPr="00984029" w:rsidRDefault="006B5330" w:rsidP="00CE0876">
      <w:pPr>
        <w:pStyle w:val="SectionSubHeading"/>
      </w:pPr>
      <w:r>
        <w:lastRenderedPageBreak/>
        <w:t>Learning Experience</w:t>
      </w:r>
      <w:r w:rsidR="000754A2" w:rsidRPr="00984029">
        <w:t xml:space="preserve"> </w:t>
      </w:r>
      <w:r w:rsidR="000754A2" w:rsidRPr="00355602">
        <w:t>Oversight</w:t>
      </w:r>
    </w:p>
    <w:p w14:paraId="33518783" w14:textId="7459144F" w:rsidR="00D05B20" w:rsidRPr="00984029" w:rsidRDefault="00BC2D1F" w:rsidP="00355602">
      <w:pPr>
        <w:pStyle w:val="SectionSub-SubHead"/>
        <w:numPr>
          <w:ilvl w:val="0"/>
          <w:numId w:val="23"/>
        </w:numPr>
      </w:pPr>
      <w:r w:rsidRPr="00984029">
        <w:t xml:space="preserve">The </w:t>
      </w:r>
      <w:r w:rsidR="00CC549D">
        <w:t>Sponsor</w:t>
      </w:r>
      <w:r w:rsidRPr="00984029">
        <w:t xml:space="preserve">, and not a third party, </w:t>
      </w:r>
      <w:r w:rsidR="00CE461E">
        <w:t>has</w:t>
      </w:r>
      <w:r w:rsidR="000342E2" w:rsidRPr="00984029">
        <w:t xml:space="preserve"> administrative control over the</w:t>
      </w:r>
      <w:r w:rsidR="00984029" w:rsidRPr="00984029">
        <w:t xml:space="preserve"> </w:t>
      </w:r>
      <w:r w:rsidR="006B5330">
        <w:t xml:space="preserve">Learning Experience </w:t>
      </w:r>
      <w:r w:rsidRPr="00984029">
        <w:t xml:space="preserve">being </w:t>
      </w:r>
      <w:r w:rsidR="002E12FC" w:rsidRPr="00984029">
        <w:t>evaluated</w:t>
      </w:r>
      <w:r w:rsidRPr="00984029">
        <w:t>.</w:t>
      </w:r>
    </w:p>
    <w:p w14:paraId="59C875F2" w14:textId="4B4CF6D0" w:rsidR="00CE461E" w:rsidRDefault="00BC2D1F" w:rsidP="00355602">
      <w:pPr>
        <w:pStyle w:val="SectionSub-SubHead"/>
        <w:numPr>
          <w:ilvl w:val="0"/>
          <w:numId w:val="23"/>
        </w:numPr>
      </w:pPr>
      <w:r w:rsidRPr="00984029">
        <w:t xml:space="preserve">The </w:t>
      </w:r>
      <w:r w:rsidR="00CC549D">
        <w:t>Sponsor</w:t>
      </w:r>
      <w:r w:rsidRPr="00984029">
        <w:t xml:space="preserve"> keeps </w:t>
      </w:r>
      <w:r w:rsidR="00EF1F14" w:rsidRPr="00984029">
        <w:t xml:space="preserve">verifiable </w:t>
      </w:r>
      <w:r w:rsidRPr="00984029">
        <w:t xml:space="preserve">records of all individuals who complete the </w:t>
      </w:r>
      <w:r w:rsidR="006B5330">
        <w:t>Learning Experience</w:t>
      </w:r>
      <w:r w:rsidR="00B55B2D" w:rsidRPr="00984029">
        <w:t xml:space="preserve"> </w:t>
      </w:r>
      <w:r w:rsidR="000342E2" w:rsidRPr="00984029">
        <w:t>for a minimum of five years</w:t>
      </w:r>
      <w:r w:rsidR="00065C6E">
        <w:t>.</w:t>
      </w:r>
      <w:r w:rsidR="00984029" w:rsidRPr="00984029">
        <w:t xml:space="preserve"> </w:t>
      </w:r>
    </w:p>
    <w:p w14:paraId="7A619815" w14:textId="6719C9BD" w:rsidR="00335C9D" w:rsidRPr="00984029" w:rsidRDefault="00335C9D" w:rsidP="00355602">
      <w:pPr>
        <w:pStyle w:val="SectionSub-SubHead"/>
        <w:numPr>
          <w:ilvl w:val="0"/>
          <w:numId w:val="23"/>
        </w:numPr>
      </w:pPr>
      <w:r w:rsidRPr="00984029">
        <w:t xml:space="preserve">The </w:t>
      </w:r>
      <w:r w:rsidR="00CC549D">
        <w:t>Sponsor</w:t>
      </w:r>
      <w:r w:rsidRPr="00984029">
        <w:t xml:space="preserve"> evaluate</w:t>
      </w:r>
      <w:r w:rsidR="00CE461E">
        <w:t>s</w:t>
      </w:r>
      <w:r w:rsidRPr="00984029">
        <w:t xml:space="preserve"> the student's learning with assessment instrument</w:t>
      </w:r>
      <w:r w:rsidR="00CE461E">
        <w:t>s</w:t>
      </w:r>
      <w:r w:rsidRPr="00984029">
        <w:t xml:space="preserve"> aligned to the learning outcomes. </w:t>
      </w:r>
    </w:p>
    <w:p w14:paraId="0D144F4C" w14:textId="4A32C5CF" w:rsidR="00335C9D" w:rsidRPr="00984029" w:rsidRDefault="00335C9D" w:rsidP="00355602">
      <w:pPr>
        <w:pStyle w:val="SectionSub-SubHead"/>
        <w:numPr>
          <w:ilvl w:val="0"/>
          <w:numId w:val="23"/>
        </w:numPr>
      </w:pPr>
      <w:r w:rsidRPr="00984029">
        <w:t xml:space="preserve">The </w:t>
      </w:r>
      <w:r w:rsidR="00CC549D">
        <w:t>Sponsor</w:t>
      </w:r>
      <w:r w:rsidRPr="00984029">
        <w:t xml:space="preserve"> define</w:t>
      </w:r>
      <w:r w:rsidR="00CE461E">
        <w:t>s</w:t>
      </w:r>
      <w:r w:rsidRPr="00984029">
        <w:t xml:space="preserve"> successful completion of the </w:t>
      </w:r>
      <w:r w:rsidR="006B5330">
        <w:t>Learning Experience</w:t>
      </w:r>
      <w:r w:rsidR="006B5330" w:rsidRPr="00984029">
        <w:t xml:space="preserve"> </w:t>
      </w:r>
      <w:r w:rsidRPr="00984029">
        <w:t xml:space="preserve">and </w:t>
      </w:r>
      <w:r w:rsidR="00CE461E">
        <w:t>has</w:t>
      </w:r>
      <w:r w:rsidRPr="00984029">
        <w:t xml:space="preserve"> method</w:t>
      </w:r>
      <w:r w:rsidR="00CE461E">
        <w:t>s</w:t>
      </w:r>
      <w:r w:rsidRPr="00984029">
        <w:t xml:space="preserve"> in place to assess </w:t>
      </w:r>
      <w:r w:rsidR="006B5330">
        <w:t xml:space="preserve">and verify </w:t>
      </w:r>
      <w:r w:rsidRPr="00984029">
        <w:t xml:space="preserve">that </w:t>
      </w:r>
      <w:r w:rsidR="00984029" w:rsidRPr="00984029">
        <w:t xml:space="preserve">completion. </w:t>
      </w:r>
    </w:p>
    <w:p w14:paraId="5F32DF37" w14:textId="5DFBF613" w:rsidR="00D05B20" w:rsidRPr="00984029" w:rsidRDefault="00C51F82" w:rsidP="00355602">
      <w:pPr>
        <w:pStyle w:val="SectionSub-SubHead"/>
        <w:numPr>
          <w:ilvl w:val="0"/>
          <w:numId w:val="23"/>
        </w:numPr>
      </w:pPr>
      <w:r w:rsidRPr="00984029">
        <w:t>T</w:t>
      </w:r>
      <w:r w:rsidR="00FD3A48" w:rsidRPr="00984029">
        <w:t xml:space="preserve">he </w:t>
      </w:r>
      <w:r w:rsidR="0035193E">
        <w:t>Learning Experience</w:t>
      </w:r>
      <w:r w:rsidR="0035193E" w:rsidRPr="00984029">
        <w:t xml:space="preserve"> </w:t>
      </w:r>
      <w:r w:rsidRPr="00984029">
        <w:t>is developed</w:t>
      </w:r>
      <w:r w:rsidR="00FD3A48" w:rsidRPr="00984029">
        <w:t xml:space="preserve">, </w:t>
      </w:r>
      <w:r w:rsidRPr="00984029">
        <w:t>administered</w:t>
      </w:r>
      <w:r w:rsidR="00C86908">
        <w:t>, assessed</w:t>
      </w:r>
      <w:r w:rsidR="00FD3A48" w:rsidRPr="00984029">
        <w:t xml:space="preserve">, </w:t>
      </w:r>
      <w:r w:rsidR="00DF45CC" w:rsidRPr="00984029">
        <w:t>and</w:t>
      </w:r>
      <w:r w:rsidR="00C86908">
        <w:t>/or</w:t>
      </w:r>
      <w:r w:rsidR="00DF45CC" w:rsidRPr="00984029">
        <w:t xml:space="preserve"> </w:t>
      </w:r>
      <w:r w:rsidR="00FD3A48" w:rsidRPr="00984029">
        <w:t>delivered</w:t>
      </w:r>
      <w:r w:rsidRPr="00984029">
        <w:t xml:space="preserve"> by individuals with </w:t>
      </w:r>
      <w:r w:rsidR="008721FC" w:rsidRPr="00984029">
        <w:t xml:space="preserve">industry </w:t>
      </w:r>
      <w:r w:rsidRPr="00984029">
        <w:t xml:space="preserve">appropriate credentials, education and/or experience. </w:t>
      </w:r>
    </w:p>
    <w:p w14:paraId="3DAA1B32" w14:textId="09C07197" w:rsidR="002B7E1C" w:rsidRPr="00984029" w:rsidRDefault="00335C9D" w:rsidP="00355602">
      <w:pPr>
        <w:pStyle w:val="SectionSub-SubHead"/>
        <w:numPr>
          <w:ilvl w:val="0"/>
          <w:numId w:val="23"/>
        </w:numPr>
      </w:pPr>
      <w:r w:rsidRPr="00984029">
        <w:t xml:space="preserve">The </w:t>
      </w:r>
      <w:r w:rsidR="00CC549D">
        <w:t>Sponsor</w:t>
      </w:r>
      <w:r w:rsidRPr="00984029">
        <w:t xml:space="preserve"> conduct</w:t>
      </w:r>
      <w:r w:rsidR="0006041E">
        <w:t>s</w:t>
      </w:r>
      <w:r w:rsidRPr="00984029">
        <w:t xml:space="preserve"> regular reviews </w:t>
      </w:r>
      <w:r w:rsidR="002B7E1C" w:rsidRPr="00984029">
        <w:t>of instructor performance.</w:t>
      </w:r>
    </w:p>
    <w:p w14:paraId="41E21B51" w14:textId="376F6384" w:rsidR="00335C9D" w:rsidRPr="00912C0C" w:rsidRDefault="006C172C" w:rsidP="00355602">
      <w:pPr>
        <w:pStyle w:val="SectionSub-SubHead"/>
        <w:numPr>
          <w:ilvl w:val="0"/>
          <w:numId w:val="23"/>
        </w:numPr>
      </w:pPr>
      <w:r w:rsidRPr="00984029">
        <w:t xml:space="preserve">The </w:t>
      </w:r>
      <w:r w:rsidR="00CC549D">
        <w:t>Sponsor</w:t>
      </w:r>
      <w:r w:rsidR="00EF1F14" w:rsidRPr="00984029">
        <w:t xml:space="preserve"> </w:t>
      </w:r>
      <w:r w:rsidRPr="00984029">
        <w:t>conducts</w:t>
      </w:r>
      <w:r w:rsidR="00EF1F14" w:rsidRPr="00984029">
        <w:t xml:space="preserve"> periodic reviews of curriculum and assessments</w:t>
      </w:r>
      <w:r w:rsidR="0006041E">
        <w:t>.</w:t>
      </w:r>
    </w:p>
    <w:p w14:paraId="730762B6" w14:textId="77777777" w:rsidR="00D05B20" w:rsidRPr="00984029" w:rsidRDefault="00D05B20" w:rsidP="00CE0876">
      <w:pPr>
        <w:pStyle w:val="SectionSubHeading"/>
      </w:pPr>
      <w:r w:rsidRPr="00984029">
        <w:t>Components</w:t>
      </w:r>
      <w:r w:rsidR="00984029" w:rsidRPr="00984029">
        <w:t xml:space="preserve"> of a Review</w:t>
      </w:r>
    </w:p>
    <w:p w14:paraId="4D1BC834" w14:textId="1139A07D" w:rsidR="004A3381" w:rsidRDefault="004A3381" w:rsidP="00355602">
      <w:pPr>
        <w:pStyle w:val="SectionSub-SubHead"/>
      </w:pPr>
      <w:r>
        <w:t xml:space="preserve">The review team evaluates the Learning Experience to determine if it is clearly defined and measurable, appropriate to the stated learning </w:t>
      </w:r>
      <w:r w:rsidR="003A49DA">
        <w:t>outcomes and/or competencies</w:t>
      </w:r>
      <w:r>
        <w:t xml:space="preserve">, and delivered and measured in a manner consistent with college-level learning. Learning Experience components reviewed may include instructional methods, lesson plans, instructor qualifications, learning environment, relevant materials, topics covered, learning </w:t>
      </w:r>
      <w:r w:rsidR="003A49DA">
        <w:t xml:space="preserve">objectives, </w:t>
      </w:r>
      <w:r>
        <w:t>and/or assessment tools.</w:t>
      </w:r>
    </w:p>
    <w:p w14:paraId="7DCBDCF9" w14:textId="77777777" w:rsidR="003A49DA" w:rsidRPr="003A585C" w:rsidRDefault="003A49DA" w:rsidP="00355602">
      <w:pPr>
        <w:pStyle w:val="SectionSub-SubHead"/>
      </w:pPr>
      <w:r>
        <w:t>The review team evaluates the outcomes and/or competencies of the Learning Experience to determine if they are consistent over time, location, and instruction.</w:t>
      </w:r>
    </w:p>
    <w:p w14:paraId="15BC079A" w14:textId="04D15E00" w:rsidR="00335C9D" w:rsidRDefault="00E2730C" w:rsidP="00355602">
      <w:pPr>
        <w:pStyle w:val="SectionSub-SubHead"/>
      </w:pPr>
      <w:r>
        <w:t xml:space="preserve">The </w:t>
      </w:r>
      <w:r w:rsidR="00984029">
        <w:t xml:space="preserve">review team </w:t>
      </w:r>
      <w:r>
        <w:t>determines</w:t>
      </w:r>
      <w:r w:rsidR="00984029">
        <w:t xml:space="preserve"> the </w:t>
      </w:r>
      <w:r w:rsidR="00335C9D">
        <w:t>depth and breadth of the learning</w:t>
      </w:r>
      <w:r>
        <w:t xml:space="preserve"> and recommends </w:t>
      </w:r>
      <w:r w:rsidR="005F5C98">
        <w:t xml:space="preserve">with justification </w:t>
      </w:r>
      <w:r w:rsidR="00984029">
        <w:t>the level of learning</w:t>
      </w:r>
      <w:r w:rsidR="00F01034">
        <w:t xml:space="preserve">, </w:t>
      </w:r>
      <w:r>
        <w:t xml:space="preserve">the subject of learning, </w:t>
      </w:r>
      <w:r w:rsidR="00F01034">
        <w:t>and</w:t>
      </w:r>
      <w:r>
        <w:t xml:space="preserve"> credit amount</w:t>
      </w:r>
      <w:r w:rsidR="003A49DA">
        <w:t>, as warranted</w:t>
      </w:r>
      <w:r w:rsidR="0006041E">
        <w:t>.</w:t>
      </w:r>
      <w:r w:rsidR="003A49DA">
        <w:t xml:space="preserve"> </w:t>
      </w:r>
    </w:p>
    <w:p w14:paraId="65BFB95F" w14:textId="611E7183" w:rsidR="00F26DF4" w:rsidRPr="003A585C" w:rsidRDefault="005F5C98" w:rsidP="00355602">
      <w:pPr>
        <w:pStyle w:val="SectionSub-SubHead"/>
      </w:pPr>
      <w:r>
        <w:t>The review t</w:t>
      </w:r>
      <w:r w:rsidR="003A49DA">
        <w:t xml:space="preserve">eam provides a </w:t>
      </w:r>
      <w:r>
        <w:t>formal written report documenting its determination and rationale</w:t>
      </w:r>
      <w:r w:rsidR="003A49DA">
        <w:t>.</w:t>
      </w:r>
    </w:p>
    <w:sectPr w:rsidR="00F26DF4" w:rsidRPr="003A585C" w:rsidSect="000E4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C57AC9" w15:done="0"/>
  <w15:commentEx w15:paraId="126383DF" w15:done="0"/>
  <w15:commentEx w15:paraId="1C5C219D" w15:done="0"/>
  <w15:commentEx w15:paraId="76E5A774" w15:done="0"/>
  <w15:commentEx w15:paraId="58552595" w15:done="0"/>
  <w15:commentEx w15:paraId="2427B735" w15:done="0"/>
  <w15:commentEx w15:paraId="215B06A0" w15:done="0"/>
  <w15:commentEx w15:paraId="07517A7C" w15:done="0"/>
  <w15:commentEx w15:paraId="40F18D35" w15:done="0"/>
  <w15:commentEx w15:paraId="173BFC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745A9" w14:textId="77777777" w:rsidR="00C56E13" w:rsidRDefault="00C56E13" w:rsidP="00BC2D1F">
      <w:r>
        <w:separator/>
      </w:r>
    </w:p>
    <w:p w14:paraId="29C85DA1" w14:textId="77777777" w:rsidR="00C56E13" w:rsidRDefault="00C56E13"/>
    <w:p w14:paraId="06BCBF49" w14:textId="77777777" w:rsidR="00C56E13" w:rsidRDefault="00C56E13"/>
  </w:endnote>
  <w:endnote w:type="continuationSeparator" w:id="0">
    <w:p w14:paraId="191097BC" w14:textId="77777777" w:rsidR="00C56E13" w:rsidRDefault="00C56E13" w:rsidP="00BC2D1F">
      <w:r>
        <w:continuationSeparator/>
      </w:r>
    </w:p>
    <w:p w14:paraId="2C99C14B" w14:textId="77777777" w:rsidR="00C56E13" w:rsidRDefault="00C56E13"/>
    <w:p w14:paraId="2199245A" w14:textId="77777777" w:rsidR="00C56E13" w:rsidRDefault="00C56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418B" w14:textId="77777777" w:rsidR="00667A0B" w:rsidRDefault="00667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F717" w14:textId="4F0102A1" w:rsidR="001551B5" w:rsidRPr="00D404B7" w:rsidRDefault="00D8140E" w:rsidP="00D404B7">
    <w:pPr>
      <w:pStyle w:val="Footer"/>
      <w:spacing w:after="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91440" distR="91440" simplePos="0" relativeHeight="251661312" behindDoc="1" locked="0" layoutInCell="1" allowOverlap="1" wp14:anchorId="5219620A" wp14:editId="32D30A40">
          <wp:simplePos x="0" y="0"/>
          <wp:positionH relativeFrom="column">
            <wp:posOffset>4962525</wp:posOffset>
          </wp:positionH>
          <wp:positionV relativeFrom="paragraph">
            <wp:posOffset>155575</wp:posOffset>
          </wp:positionV>
          <wp:extent cx="914400" cy="219075"/>
          <wp:effectExtent l="0" t="0" r="0" b="9525"/>
          <wp:wrapTight wrapText="largest">
            <wp:wrapPolygon edited="0">
              <wp:start x="0" y="0"/>
              <wp:lineTo x="0" y="20661"/>
              <wp:lineTo x="21150" y="20661"/>
              <wp:lineTo x="2115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.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140E">
      <w:rPr>
        <w:sz w:val="20"/>
        <w:szCs w:val="20"/>
      </w:rPr>
      <w:t>This work is licensed under the Creative Commons Attribution-</w:t>
    </w:r>
    <w:proofErr w:type="spellStart"/>
    <w:r w:rsidRPr="00D8140E">
      <w:rPr>
        <w:sz w:val="20"/>
        <w:szCs w:val="20"/>
      </w:rPr>
      <w:t>NonCommercial</w:t>
    </w:r>
    <w:proofErr w:type="spellEnd"/>
    <w:r w:rsidRPr="00D8140E">
      <w:rPr>
        <w:sz w:val="20"/>
        <w:szCs w:val="20"/>
      </w:rPr>
      <w:t>-</w:t>
    </w:r>
    <w:proofErr w:type="spellStart"/>
    <w:r w:rsidRPr="00D8140E">
      <w:rPr>
        <w:sz w:val="20"/>
        <w:szCs w:val="20"/>
      </w:rPr>
      <w:t>NoDerivatives</w:t>
    </w:r>
    <w:proofErr w:type="spellEnd"/>
    <w:r w:rsidRPr="00D8140E">
      <w:rPr>
        <w:sz w:val="20"/>
        <w:szCs w:val="20"/>
      </w:rPr>
      <w:t xml:space="preserve"> 4.0 International License. To view a copy of this license, visit http://creativecommons.org/licenses/by-nc-nd/4.0/.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AF516" w14:textId="4C8DBC45" w:rsidR="000E4961" w:rsidRPr="008D0402" w:rsidRDefault="00D8140E">
    <w:pPr>
      <w:pStyle w:val="Foo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91440" distR="91440" simplePos="0" relativeHeight="251659264" behindDoc="1" locked="0" layoutInCell="1" allowOverlap="1" wp14:anchorId="067AA8E3" wp14:editId="747C7EB3">
          <wp:simplePos x="0" y="0"/>
          <wp:positionH relativeFrom="column">
            <wp:posOffset>4962525</wp:posOffset>
          </wp:positionH>
          <wp:positionV relativeFrom="paragraph">
            <wp:posOffset>155575</wp:posOffset>
          </wp:positionV>
          <wp:extent cx="914400" cy="219075"/>
          <wp:effectExtent l="0" t="0" r="0" b="9525"/>
          <wp:wrapTight wrapText="largest">
            <wp:wrapPolygon edited="0">
              <wp:start x="0" y="0"/>
              <wp:lineTo x="0" y="20661"/>
              <wp:lineTo x="21150" y="20661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.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140E">
      <w:rPr>
        <w:sz w:val="20"/>
        <w:szCs w:val="20"/>
      </w:rPr>
      <w:t>This work is licensed under the Creative Commons Attribution-</w:t>
    </w:r>
    <w:proofErr w:type="spellStart"/>
    <w:r w:rsidRPr="00D8140E">
      <w:rPr>
        <w:sz w:val="20"/>
        <w:szCs w:val="20"/>
      </w:rPr>
      <w:t>NonCommercial</w:t>
    </w:r>
    <w:proofErr w:type="spellEnd"/>
    <w:r w:rsidRPr="00D8140E">
      <w:rPr>
        <w:sz w:val="20"/>
        <w:szCs w:val="20"/>
      </w:rPr>
      <w:t>-</w:t>
    </w:r>
    <w:proofErr w:type="spellStart"/>
    <w:r w:rsidRPr="00D8140E">
      <w:rPr>
        <w:sz w:val="20"/>
        <w:szCs w:val="20"/>
      </w:rPr>
      <w:t>NoDerivatives</w:t>
    </w:r>
    <w:proofErr w:type="spellEnd"/>
    <w:r w:rsidRPr="00D8140E">
      <w:rPr>
        <w:sz w:val="20"/>
        <w:szCs w:val="20"/>
      </w:rPr>
      <w:t xml:space="preserve"> 4.0 International License. To view a copy of this license, visit http://creativecommons.org/licenses/by-nc-nd/4.0/.</w:t>
    </w:r>
    <w:r w:rsidR="008D0402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EA5EB" w14:textId="77777777" w:rsidR="00C56E13" w:rsidRDefault="00C56E13" w:rsidP="00BC2D1F">
      <w:r>
        <w:separator/>
      </w:r>
    </w:p>
    <w:p w14:paraId="1FAFDD7F" w14:textId="77777777" w:rsidR="00C56E13" w:rsidRDefault="00C56E13"/>
    <w:p w14:paraId="38D122A9" w14:textId="77777777" w:rsidR="00C56E13" w:rsidRDefault="00C56E13"/>
  </w:footnote>
  <w:footnote w:type="continuationSeparator" w:id="0">
    <w:p w14:paraId="00C7F34E" w14:textId="77777777" w:rsidR="00C56E13" w:rsidRDefault="00C56E13" w:rsidP="00BC2D1F">
      <w:r>
        <w:continuationSeparator/>
      </w:r>
    </w:p>
    <w:p w14:paraId="11CD9BFB" w14:textId="77777777" w:rsidR="00C56E13" w:rsidRDefault="00C56E13"/>
    <w:p w14:paraId="17E598D8" w14:textId="77777777" w:rsidR="00C56E13" w:rsidRDefault="00C56E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8053D" w14:textId="77777777" w:rsidR="001551B5" w:rsidRDefault="001551B5" w:rsidP="005F56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DC230" w14:textId="77777777" w:rsidR="001551B5" w:rsidRDefault="001551B5" w:rsidP="00BC2D1F">
    <w:pPr>
      <w:pStyle w:val="Header"/>
      <w:ind w:right="360"/>
    </w:pPr>
  </w:p>
  <w:p w14:paraId="2E6F7ACA" w14:textId="77777777" w:rsidR="001551B5" w:rsidRDefault="001551B5"/>
  <w:p w14:paraId="05C65893" w14:textId="77777777" w:rsidR="001551B5" w:rsidRDefault="001551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0F63A" w14:textId="6254E55A" w:rsidR="000E4961" w:rsidRPr="00403415" w:rsidRDefault="000E4961" w:rsidP="00403415">
    <w:pPr>
      <w:pStyle w:val="Header"/>
      <w:tabs>
        <w:tab w:val="clear" w:pos="8640"/>
        <w:tab w:val="right" w:pos="9360"/>
      </w:tabs>
      <w:spacing w:after="0"/>
      <w:rPr>
        <w:i/>
        <w:sz w:val="20"/>
        <w:szCs w:val="20"/>
      </w:rPr>
    </w:pPr>
    <w:r w:rsidRPr="00403415">
      <w:rPr>
        <w:i/>
        <w:sz w:val="20"/>
        <w:szCs w:val="20"/>
      </w:rPr>
      <w:t>CACE Standards for the Assessment of Non-Collegiate Instruction</w:t>
    </w:r>
    <w:r w:rsidR="00403415">
      <w:rPr>
        <w:i/>
        <w:sz w:val="20"/>
        <w:szCs w:val="20"/>
      </w:rPr>
      <w:tab/>
    </w:r>
    <w:r w:rsidR="00403415" w:rsidRPr="00403415">
      <w:rPr>
        <w:i/>
        <w:sz w:val="20"/>
        <w:szCs w:val="20"/>
      </w:rPr>
      <w:fldChar w:fldCharType="begin"/>
    </w:r>
    <w:r w:rsidR="00403415" w:rsidRPr="00403415">
      <w:rPr>
        <w:i/>
        <w:sz w:val="20"/>
        <w:szCs w:val="20"/>
      </w:rPr>
      <w:instrText xml:space="preserve"> PAGE   \* MERGEFORMAT </w:instrText>
    </w:r>
    <w:r w:rsidR="00403415" w:rsidRPr="00403415">
      <w:rPr>
        <w:i/>
        <w:sz w:val="20"/>
        <w:szCs w:val="20"/>
      </w:rPr>
      <w:fldChar w:fldCharType="separate"/>
    </w:r>
    <w:r w:rsidR="00DF100D">
      <w:rPr>
        <w:i/>
        <w:noProof/>
        <w:sz w:val="20"/>
        <w:szCs w:val="20"/>
      </w:rPr>
      <w:t>4</w:t>
    </w:r>
    <w:r w:rsidR="00403415" w:rsidRPr="00403415">
      <w:rPr>
        <w:i/>
        <w:noProof/>
        <w:sz w:val="20"/>
        <w:szCs w:val="20"/>
      </w:rPr>
      <w:fldChar w:fldCharType="end"/>
    </w:r>
  </w:p>
  <w:p w14:paraId="19B8FDDA" w14:textId="7AB8EF4A" w:rsidR="000E4961" w:rsidRPr="000E4961" w:rsidRDefault="000E4961" w:rsidP="000E4961">
    <w:pPr>
      <w:pStyle w:val="Header"/>
      <w:spacing w:after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EF800" w14:textId="77777777" w:rsidR="00667A0B" w:rsidRDefault="00667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B0E"/>
    <w:multiLevelType w:val="hybridMultilevel"/>
    <w:tmpl w:val="15D88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64BB"/>
    <w:multiLevelType w:val="hybridMultilevel"/>
    <w:tmpl w:val="3316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1A7B"/>
    <w:multiLevelType w:val="hybridMultilevel"/>
    <w:tmpl w:val="36AE3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746C4"/>
    <w:multiLevelType w:val="hybridMultilevel"/>
    <w:tmpl w:val="FEAE1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A298B"/>
    <w:multiLevelType w:val="hybridMultilevel"/>
    <w:tmpl w:val="EE969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23529"/>
    <w:multiLevelType w:val="hybridMultilevel"/>
    <w:tmpl w:val="4A588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0291B"/>
    <w:multiLevelType w:val="multilevel"/>
    <w:tmpl w:val="7804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51515"/>
    <w:multiLevelType w:val="hybridMultilevel"/>
    <w:tmpl w:val="E7404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263FA"/>
    <w:multiLevelType w:val="hybridMultilevel"/>
    <w:tmpl w:val="50FA0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77842"/>
    <w:multiLevelType w:val="hybridMultilevel"/>
    <w:tmpl w:val="0D4A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85535"/>
    <w:multiLevelType w:val="hybridMultilevel"/>
    <w:tmpl w:val="0D4A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E26BD"/>
    <w:multiLevelType w:val="multilevel"/>
    <w:tmpl w:val="8FB6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C2AC8"/>
    <w:multiLevelType w:val="multilevel"/>
    <w:tmpl w:val="081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1839FE"/>
    <w:multiLevelType w:val="hybridMultilevel"/>
    <w:tmpl w:val="D6AABFB0"/>
    <w:lvl w:ilvl="0" w:tplc="9C8EA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74423E"/>
    <w:multiLevelType w:val="hybridMultilevel"/>
    <w:tmpl w:val="0C14A2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54B84"/>
    <w:multiLevelType w:val="hybridMultilevel"/>
    <w:tmpl w:val="820EC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852FB8"/>
    <w:multiLevelType w:val="hybridMultilevel"/>
    <w:tmpl w:val="FE06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93E9E"/>
    <w:multiLevelType w:val="hybridMultilevel"/>
    <w:tmpl w:val="03565FF4"/>
    <w:lvl w:ilvl="0" w:tplc="A0A08EF8">
      <w:start w:val="1"/>
      <w:numFmt w:val="decimal"/>
      <w:pStyle w:val="SectionSub-SubHea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78367C"/>
    <w:multiLevelType w:val="hybridMultilevel"/>
    <w:tmpl w:val="821AC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A1595"/>
    <w:multiLevelType w:val="multilevel"/>
    <w:tmpl w:val="4EB0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82A9C"/>
    <w:multiLevelType w:val="multilevel"/>
    <w:tmpl w:val="AFE4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80A2A"/>
    <w:multiLevelType w:val="hybridMultilevel"/>
    <w:tmpl w:val="4E407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5483D"/>
    <w:multiLevelType w:val="hybridMultilevel"/>
    <w:tmpl w:val="23C8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FD23E7"/>
    <w:multiLevelType w:val="hybridMultilevel"/>
    <w:tmpl w:val="3D007A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6"/>
  </w:num>
  <w:num w:numId="5">
    <w:abstractNumId w:val="19"/>
  </w:num>
  <w:num w:numId="6">
    <w:abstractNumId w:val="18"/>
  </w:num>
  <w:num w:numId="7">
    <w:abstractNumId w:val="10"/>
  </w:num>
  <w:num w:numId="8">
    <w:abstractNumId w:val="0"/>
  </w:num>
  <w:num w:numId="9">
    <w:abstractNumId w:val="21"/>
  </w:num>
  <w:num w:numId="10">
    <w:abstractNumId w:val="16"/>
  </w:num>
  <w:num w:numId="11">
    <w:abstractNumId w:val="2"/>
  </w:num>
  <w:num w:numId="12">
    <w:abstractNumId w:val="4"/>
  </w:num>
  <w:num w:numId="13">
    <w:abstractNumId w:val="1"/>
  </w:num>
  <w:num w:numId="14">
    <w:abstractNumId w:val="9"/>
  </w:num>
  <w:num w:numId="15">
    <w:abstractNumId w:val="22"/>
  </w:num>
  <w:num w:numId="16">
    <w:abstractNumId w:val="7"/>
  </w:num>
  <w:num w:numId="17">
    <w:abstractNumId w:val="8"/>
  </w:num>
  <w:num w:numId="18">
    <w:abstractNumId w:val="15"/>
  </w:num>
  <w:num w:numId="19">
    <w:abstractNumId w:val="13"/>
  </w:num>
  <w:num w:numId="20">
    <w:abstractNumId w:val="5"/>
  </w:num>
  <w:num w:numId="21">
    <w:abstractNumId w:val="14"/>
  </w:num>
  <w:num w:numId="22">
    <w:abstractNumId w:val="23"/>
  </w:num>
  <w:num w:numId="23">
    <w:abstractNumId w:val="3"/>
  </w:num>
  <w:num w:numId="24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s  Garmil">
    <w15:presenceInfo w15:providerId="AD" w15:userId="S-1-5-21-934113684-1645396959-733179483-21871"/>
  </w15:person>
  <w15:person w15:author="Ross  Garmil [2]">
    <w15:presenceInfo w15:providerId="AD" w15:userId="S-1-5-21-934113684-1645396959-733179483-21871"/>
  </w15:person>
  <w15:person w15:author="Ross  Garmil [3]">
    <w15:presenceInfo w15:providerId="AD" w15:userId="S-1-5-21-934113684-1645396959-733179483-21871"/>
  </w15:person>
  <w15:person w15:author="Ross  Garmil [4]">
    <w15:presenceInfo w15:providerId="AD" w15:userId="S-1-5-21-934113684-1645396959-733179483-21871"/>
  </w15:person>
  <w15:person w15:author="Ross  Garmil [5]">
    <w15:presenceInfo w15:providerId="AD" w15:userId="S-1-5-21-934113684-1645396959-733179483-21871"/>
  </w15:person>
  <w15:person w15:author="Ross  Garmil [6]">
    <w15:presenceInfo w15:providerId="AD" w15:userId="S-1-5-21-934113684-1645396959-733179483-21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F"/>
    <w:rsid w:val="000005D3"/>
    <w:rsid w:val="00002A09"/>
    <w:rsid w:val="00004986"/>
    <w:rsid w:val="00017EB2"/>
    <w:rsid w:val="00021C0C"/>
    <w:rsid w:val="00026461"/>
    <w:rsid w:val="0002746E"/>
    <w:rsid w:val="000342E2"/>
    <w:rsid w:val="00050FE7"/>
    <w:rsid w:val="0006041E"/>
    <w:rsid w:val="000631AE"/>
    <w:rsid w:val="00065B42"/>
    <w:rsid w:val="00065C6E"/>
    <w:rsid w:val="00066EFD"/>
    <w:rsid w:val="00071D51"/>
    <w:rsid w:val="00071D5E"/>
    <w:rsid w:val="000754A2"/>
    <w:rsid w:val="000777DE"/>
    <w:rsid w:val="00086970"/>
    <w:rsid w:val="0009209F"/>
    <w:rsid w:val="000A0D8C"/>
    <w:rsid w:val="000C5295"/>
    <w:rsid w:val="000C7252"/>
    <w:rsid w:val="000E4961"/>
    <w:rsid w:val="000E676B"/>
    <w:rsid w:val="000F5E2D"/>
    <w:rsid w:val="00103618"/>
    <w:rsid w:val="0014209C"/>
    <w:rsid w:val="00145C78"/>
    <w:rsid w:val="00151CB3"/>
    <w:rsid w:val="001551B5"/>
    <w:rsid w:val="00165553"/>
    <w:rsid w:val="001749CD"/>
    <w:rsid w:val="00180CF2"/>
    <w:rsid w:val="00183328"/>
    <w:rsid w:val="001963B2"/>
    <w:rsid w:val="001B5E00"/>
    <w:rsid w:val="001F1DFB"/>
    <w:rsid w:val="002017B7"/>
    <w:rsid w:val="00207DD6"/>
    <w:rsid w:val="00230E2C"/>
    <w:rsid w:val="00232EC0"/>
    <w:rsid w:val="00233127"/>
    <w:rsid w:val="002504EC"/>
    <w:rsid w:val="00257D19"/>
    <w:rsid w:val="00275513"/>
    <w:rsid w:val="002A7F4B"/>
    <w:rsid w:val="002B7E1C"/>
    <w:rsid w:val="002D40AE"/>
    <w:rsid w:val="002D563A"/>
    <w:rsid w:val="002E12FC"/>
    <w:rsid w:val="002E1A54"/>
    <w:rsid w:val="002E1DEF"/>
    <w:rsid w:val="002E7C8D"/>
    <w:rsid w:val="002F09DC"/>
    <w:rsid w:val="0030144E"/>
    <w:rsid w:val="0030666F"/>
    <w:rsid w:val="00310897"/>
    <w:rsid w:val="003209CD"/>
    <w:rsid w:val="00335C9D"/>
    <w:rsid w:val="003426A8"/>
    <w:rsid w:val="0035193E"/>
    <w:rsid w:val="00355602"/>
    <w:rsid w:val="00364839"/>
    <w:rsid w:val="00372E2E"/>
    <w:rsid w:val="00375C1C"/>
    <w:rsid w:val="003822E0"/>
    <w:rsid w:val="00384233"/>
    <w:rsid w:val="003A49DA"/>
    <w:rsid w:val="003A585C"/>
    <w:rsid w:val="003C4474"/>
    <w:rsid w:val="003D5B85"/>
    <w:rsid w:val="00403415"/>
    <w:rsid w:val="00407323"/>
    <w:rsid w:val="00413266"/>
    <w:rsid w:val="004204BF"/>
    <w:rsid w:val="00446504"/>
    <w:rsid w:val="00455630"/>
    <w:rsid w:val="00456576"/>
    <w:rsid w:val="004573B6"/>
    <w:rsid w:val="00461C23"/>
    <w:rsid w:val="00475352"/>
    <w:rsid w:val="004953F8"/>
    <w:rsid w:val="004A3381"/>
    <w:rsid w:val="004D3840"/>
    <w:rsid w:val="004E4BF6"/>
    <w:rsid w:val="00506FBA"/>
    <w:rsid w:val="005327B2"/>
    <w:rsid w:val="00534514"/>
    <w:rsid w:val="00556C9D"/>
    <w:rsid w:val="00585473"/>
    <w:rsid w:val="00591E8C"/>
    <w:rsid w:val="005B5A04"/>
    <w:rsid w:val="005B6641"/>
    <w:rsid w:val="005C4E50"/>
    <w:rsid w:val="005C790E"/>
    <w:rsid w:val="005D1D96"/>
    <w:rsid w:val="005F15C3"/>
    <w:rsid w:val="005F30C4"/>
    <w:rsid w:val="005F5667"/>
    <w:rsid w:val="005F5C98"/>
    <w:rsid w:val="005F70E1"/>
    <w:rsid w:val="00613EC9"/>
    <w:rsid w:val="00636E9E"/>
    <w:rsid w:val="00642416"/>
    <w:rsid w:val="006427E7"/>
    <w:rsid w:val="006648C4"/>
    <w:rsid w:val="00667A0B"/>
    <w:rsid w:val="00671204"/>
    <w:rsid w:val="0067744F"/>
    <w:rsid w:val="006A0E94"/>
    <w:rsid w:val="006A3C43"/>
    <w:rsid w:val="006B5330"/>
    <w:rsid w:val="006C172C"/>
    <w:rsid w:val="006D4D2A"/>
    <w:rsid w:val="006F2E0A"/>
    <w:rsid w:val="006F306E"/>
    <w:rsid w:val="006F6ADE"/>
    <w:rsid w:val="006F7DFC"/>
    <w:rsid w:val="00706F55"/>
    <w:rsid w:val="0071464F"/>
    <w:rsid w:val="007213EE"/>
    <w:rsid w:val="007265B7"/>
    <w:rsid w:val="00734D33"/>
    <w:rsid w:val="0075791D"/>
    <w:rsid w:val="00763BE9"/>
    <w:rsid w:val="007645A0"/>
    <w:rsid w:val="0076576C"/>
    <w:rsid w:val="00767245"/>
    <w:rsid w:val="00770E8F"/>
    <w:rsid w:val="007734B3"/>
    <w:rsid w:val="00794334"/>
    <w:rsid w:val="007A02F6"/>
    <w:rsid w:val="007A083A"/>
    <w:rsid w:val="007B237A"/>
    <w:rsid w:val="007D7C67"/>
    <w:rsid w:val="007E1A18"/>
    <w:rsid w:val="007E3B1B"/>
    <w:rsid w:val="0082107F"/>
    <w:rsid w:val="00821DF4"/>
    <w:rsid w:val="00823987"/>
    <w:rsid w:val="008308D8"/>
    <w:rsid w:val="00830A2D"/>
    <w:rsid w:val="0084455B"/>
    <w:rsid w:val="0085015B"/>
    <w:rsid w:val="008501D6"/>
    <w:rsid w:val="008721FC"/>
    <w:rsid w:val="00874DFB"/>
    <w:rsid w:val="008911F3"/>
    <w:rsid w:val="00897D43"/>
    <w:rsid w:val="008A796A"/>
    <w:rsid w:val="008C52B5"/>
    <w:rsid w:val="008C6812"/>
    <w:rsid w:val="008D0402"/>
    <w:rsid w:val="008E61BE"/>
    <w:rsid w:val="008F2FB5"/>
    <w:rsid w:val="008F7904"/>
    <w:rsid w:val="00911B41"/>
    <w:rsid w:val="00912C0C"/>
    <w:rsid w:val="009234EE"/>
    <w:rsid w:val="00926669"/>
    <w:rsid w:val="00941752"/>
    <w:rsid w:val="00952461"/>
    <w:rsid w:val="0096051F"/>
    <w:rsid w:val="009605D7"/>
    <w:rsid w:val="00963B1D"/>
    <w:rsid w:val="00984029"/>
    <w:rsid w:val="009969AE"/>
    <w:rsid w:val="009B0AF3"/>
    <w:rsid w:val="009D3AAC"/>
    <w:rsid w:val="009E1EAE"/>
    <w:rsid w:val="009E22D8"/>
    <w:rsid w:val="009E42BE"/>
    <w:rsid w:val="009E43CF"/>
    <w:rsid w:val="009E63FF"/>
    <w:rsid w:val="00A06247"/>
    <w:rsid w:val="00A11426"/>
    <w:rsid w:val="00A17114"/>
    <w:rsid w:val="00A2689D"/>
    <w:rsid w:val="00A51159"/>
    <w:rsid w:val="00A67577"/>
    <w:rsid w:val="00A73FB7"/>
    <w:rsid w:val="00A91583"/>
    <w:rsid w:val="00AA602A"/>
    <w:rsid w:val="00AA738D"/>
    <w:rsid w:val="00AB6A38"/>
    <w:rsid w:val="00AC618E"/>
    <w:rsid w:val="00AF49AC"/>
    <w:rsid w:val="00B2236C"/>
    <w:rsid w:val="00B236D5"/>
    <w:rsid w:val="00B37A8D"/>
    <w:rsid w:val="00B4793B"/>
    <w:rsid w:val="00B51267"/>
    <w:rsid w:val="00B55B2D"/>
    <w:rsid w:val="00B82968"/>
    <w:rsid w:val="00B93079"/>
    <w:rsid w:val="00BA7A7A"/>
    <w:rsid w:val="00BC2D1F"/>
    <w:rsid w:val="00BD2582"/>
    <w:rsid w:val="00BE6560"/>
    <w:rsid w:val="00BF3986"/>
    <w:rsid w:val="00C0278F"/>
    <w:rsid w:val="00C1458B"/>
    <w:rsid w:val="00C3053A"/>
    <w:rsid w:val="00C33B2E"/>
    <w:rsid w:val="00C33E68"/>
    <w:rsid w:val="00C34D97"/>
    <w:rsid w:val="00C51F82"/>
    <w:rsid w:val="00C533BE"/>
    <w:rsid w:val="00C56E13"/>
    <w:rsid w:val="00C66A45"/>
    <w:rsid w:val="00C86908"/>
    <w:rsid w:val="00CA1327"/>
    <w:rsid w:val="00CB7E9E"/>
    <w:rsid w:val="00CC549D"/>
    <w:rsid w:val="00CE0083"/>
    <w:rsid w:val="00CE0876"/>
    <w:rsid w:val="00CE461E"/>
    <w:rsid w:val="00D05B20"/>
    <w:rsid w:val="00D06DEB"/>
    <w:rsid w:val="00D13592"/>
    <w:rsid w:val="00D25522"/>
    <w:rsid w:val="00D30039"/>
    <w:rsid w:val="00D31B7B"/>
    <w:rsid w:val="00D404B7"/>
    <w:rsid w:val="00D42F86"/>
    <w:rsid w:val="00D54385"/>
    <w:rsid w:val="00D6567F"/>
    <w:rsid w:val="00D74FCA"/>
    <w:rsid w:val="00D8140E"/>
    <w:rsid w:val="00D900DD"/>
    <w:rsid w:val="00D93B93"/>
    <w:rsid w:val="00DA04BD"/>
    <w:rsid w:val="00DA5CD2"/>
    <w:rsid w:val="00DA6D43"/>
    <w:rsid w:val="00DD34BA"/>
    <w:rsid w:val="00DD683F"/>
    <w:rsid w:val="00DE6DAE"/>
    <w:rsid w:val="00DF100D"/>
    <w:rsid w:val="00DF45CC"/>
    <w:rsid w:val="00E062AB"/>
    <w:rsid w:val="00E076D2"/>
    <w:rsid w:val="00E13C59"/>
    <w:rsid w:val="00E154BF"/>
    <w:rsid w:val="00E154D3"/>
    <w:rsid w:val="00E22A58"/>
    <w:rsid w:val="00E2730C"/>
    <w:rsid w:val="00E3047D"/>
    <w:rsid w:val="00E43E21"/>
    <w:rsid w:val="00E469EC"/>
    <w:rsid w:val="00E67864"/>
    <w:rsid w:val="00E7612C"/>
    <w:rsid w:val="00E85DEF"/>
    <w:rsid w:val="00E918CC"/>
    <w:rsid w:val="00E93D4D"/>
    <w:rsid w:val="00EC04E6"/>
    <w:rsid w:val="00EC7477"/>
    <w:rsid w:val="00ED1029"/>
    <w:rsid w:val="00ED1461"/>
    <w:rsid w:val="00ED2A71"/>
    <w:rsid w:val="00EE0F61"/>
    <w:rsid w:val="00EF1F14"/>
    <w:rsid w:val="00EF485C"/>
    <w:rsid w:val="00EF7141"/>
    <w:rsid w:val="00F01034"/>
    <w:rsid w:val="00F26DF4"/>
    <w:rsid w:val="00F422E6"/>
    <w:rsid w:val="00F64656"/>
    <w:rsid w:val="00F767DA"/>
    <w:rsid w:val="00FC205F"/>
    <w:rsid w:val="00FD3A48"/>
    <w:rsid w:val="00FF1119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4B44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93"/>
    <w:pPr>
      <w:spacing w:after="240"/>
    </w:pPr>
    <w:rPr>
      <w:rFonts w:ascii="Times" w:hAnsi="Times"/>
    </w:rPr>
  </w:style>
  <w:style w:type="paragraph" w:styleId="Heading3">
    <w:name w:val="heading 3"/>
    <w:basedOn w:val="Normal"/>
    <w:link w:val="Heading3Char"/>
    <w:uiPriority w:val="9"/>
    <w:qFormat/>
    <w:rsid w:val="007265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1F"/>
  </w:style>
  <w:style w:type="character" w:styleId="PageNumber">
    <w:name w:val="page number"/>
    <w:basedOn w:val="DefaultParagraphFont"/>
    <w:uiPriority w:val="99"/>
    <w:semiHidden/>
    <w:unhideWhenUsed/>
    <w:rsid w:val="00BC2D1F"/>
  </w:style>
  <w:style w:type="paragraph" w:styleId="ListParagraph">
    <w:name w:val="List Paragraph"/>
    <w:basedOn w:val="Normal"/>
    <w:uiPriority w:val="34"/>
    <w:qFormat/>
    <w:rsid w:val="00FF1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3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86"/>
  </w:style>
  <w:style w:type="paragraph" w:customStyle="1" w:styleId="SectionHeading">
    <w:name w:val="Section Heading"/>
    <w:basedOn w:val="Normal"/>
    <w:link w:val="SectionHeadingChar"/>
    <w:qFormat/>
    <w:rsid w:val="00D93B93"/>
    <w:pPr>
      <w:keepNext/>
      <w:spacing w:after="120"/>
    </w:pPr>
    <w:rPr>
      <w:rFonts w:eastAsia="Times New Roman" w:cs="Times New Roman"/>
      <w:b/>
      <w:bCs/>
    </w:rPr>
  </w:style>
  <w:style w:type="paragraph" w:customStyle="1" w:styleId="DocTitle">
    <w:name w:val="DocTitle"/>
    <w:basedOn w:val="Normal"/>
    <w:link w:val="DocTitleChar"/>
    <w:qFormat/>
    <w:rsid w:val="009969AE"/>
    <w:pPr>
      <w:spacing w:after="0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SectionHeadingChar">
    <w:name w:val="Section Heading Char"/>
    <w:basedOn w:val="DefaultParagraphFont"/>
    <w:link w:val="SectionHeading"/>
    <w:rsid w:val="00D93B93"/>
    <w:rPr>
      <w:rFonts w:ascii="Times" w:eastAsia="Times New Roman" w:hAnsi="Times" w:cs="Times New Roman"/>
      <w:b/>
      <w:bCs/>
    </w:rPr>
  </w:style>
  <w:style w:type="paragraph" w:customStyle="1" w:styleId="SectionSubHeading">
    <w:name w:val="Section SubHeading"/>
    <w:basedOn w:val="SectionHeading"/>
    <w:link w:val="SectionSubHeadingChar"/>
    <w:qFormat/>
    <w:rsid w:val="00355602"/>
    <w:pPr>
      <w:spacing w:before="240"/>
      <w:ind w:left="360"/>
    </w:pPr>
    <w:rPr>
      <w:b w:val="0"/>
      <w:i/>
    </w:rPr>
  </w:style>
  <w:style w:type="character" w:customStyle="1" w:styleId="DocTitleChar">
    <w:name w:val="DocTitle Char"/>
    <w:basedOn w:val="DefaultParagraphFont"/>
    <w:link w:val="DocTitle"/>
    <w:rsid w:val="009969AE"/>
    <w:rPr>
      <w:rFonts w:ascii="Times" w:eastAsia="Times New Roman" w:hAnsi="Times" w:cs="Times New Roman"/>
      <w:b/>
      <w:bCs/>
      <w:sz w:val="28"/>
      <w:szCs w:val="28"/>
    </w:rPr>
  </w:style>
  <w:style w:type="paragraph" w:customStyle="1" w:styleId="SectionSub-SubHead">
    <w:name w:val="Section Sub-SubHead"/>
    <w:basedOn w:val="SectionSubHeading"/>
    <w:link w:val="SectionSub-SubHeadChar"/>
    <w:qFormat/>
    <w:rsid w:val="00355602"/>
    <w:pPr>
      <w:numPr>
        <w:numId w:val="24"/>
      </w:numPr>
      <w:spacing w:before="0"/>
    </w:pPr>
    <w:rPr>
      <w:i w:val="0"/>
    </w:rPr>
  </w:style>
  <w:style w:type="character" w:customStyle="1" w:styleId="SectionSubHeadingChar">
    <w:name w:val="Section SubHeading Char"/>
    <w:basedOn w:val="SectionHeadingChar"/>
    <w:link w:val="SectionSubHeading"/>
    <w:rsid w:val="00355602"/>
    <w:rPr>
      <w:rFonts w:ascii="Times" w:eastAsia="Times New Roman" w:hAnsi="Times" w:cs="Times New Roman"/>
      <w:b w:val="0"/>
      <w:bCs/>
      <w:i/>
    </w:rPr>
  </w:style>
  <w:style w:type="paragraph" w:customStyle="1" w:styleId="BestPractice">
    <w:name w:val="Best Practice"/>
    <w:basedOn w:val="Normal"/>
    <w:link w:val="BestPracticeChar"/>
    <w:qFormat/>
    <w:rsid w:val="009969AE"/>
    <w:pPr>
      <w:spacing w:after="0"/>
      <w:ind w:left="1440"/>
    </w:pPr>
    <w:rPr>
      <w:rFonts w:eastAsia="Times New Roman" w:cs="Times New Roman"/>
    </w:rPr>
  </w:style>
  <w:style w:type="character" w:customStyle="1" w:styleId="SectionSub-SubHeadChar">
    <w:name w:val="Section Sub-SubHead Char"/>
    <w:basedOn w:val="SectionSubHeadingChar"/>
    <w:link w:val="SectionSub-SubHead"/>
    <w:rsid w:val="00355602"/>
    <w:rPr>
      <w:rFonts w:ascii="Times" w:eastAsia="Times New Roman" w:hAnsi="Times" w:cs="Times New Roman"/>
      <w:b w:val="0"/>
      <w:bCs/>
      <w:i w:val="0"/>
    </w:rPr>
  </w:style>
  <w:style w:type="character" w:customStyle="1" w:styleId="BestPracticeChar">
    <w:name w:val="Best Practice Char"/>
    <w:basedOn w:val="DefaultParagraphFont"/>
    <w:link w:val="BestPractice"/>
    <w:rsid w:val="009969AE"/>
    <w:rPr>
      <w:rFonts w:ascii="Times" w:eastAsia="Times New Roman" w:hAnsi="Times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F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67"/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67"/>
    <w:rPr>
      <w:rFonts w:ascii="Times" w:hAnsi="Time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65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265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0144E"/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93"/>
    <w:pPr>
      <w:spacing w:after="240"/>
    </w:pPr>
    <w:rPr>
      <w:rFonts w:ascii="Times" w:hAnsi="Times"/>
    </w:rPr>
  </w:style>
  <w:style w:type="paragraph" w:styleId="Heading3">
    <w:name w:val="heading 3"/>
    <w:basedOn w:val="Normal"/>
    <w:link w:val="Heading3Char"/>
    <w:uiPriority w:val="9"/>
    <w:qFormat/>
    <w:rsid w:val="007265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1F"/>
  </w:style>
  <w:style w:type="character" w:styleId="PageNumber">
    <w:name w:val="page number"/>
    <w:basedOn w:val="DefaultParagraphFont"/>
    <w:uiPriority w:val="99"/>
    <w:semiHidden/>
    <w:unhideWhenUsed/>
    <w:rsid w:val="00BC2D1F"/>
  </w:style>
  <w:style w:type="paragraph" w:styleId="ListParagraph">
    <w:name w:val="List Paragraph"/>
    <w:basedOn w:val="Normal"/>
    <w:uiPriority w:val="34"/>
    <w:qFormat/>
    <w:rsid w:val="00FF1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6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3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86"/>
  </w:style>
  <w:style w:type="paragraph" w:customStyle="1" w:styleId="SectionHeading">
    <w:name w:val="Section Heading"/>
    <w:basedOn w:val="Normal"/>
    <w:link w:val="SectionHeadingChar"/>
    <w:qFormat/>
    <w:rsid w:val="00D93B93"/>
    <w:pPr>
      <w:keepNext/>
      <w:spacing w:after="120"/>
    </w:pPr>
    <w:rPr>
      <w:rFonts w:eastAsia="Times New Roman" w:cs="Times New Roman"/>
      <w:b/>
      <w:bCs/>
    </w:rPr>
  </w:style>
  <w:style w:type="paragraph" w:customStyle="1" w:styleId="DocTitle">
    <w:name w:val="DocTitle"/>
    <w:basedOn w:val="Normal"/>
    <w:link w:val="DocTitleChar"/>
    <w:qFormat/>
    <w:rsid w:val="009969AE"/>
    <w:pPr>
      <w:spacing w:after="0"/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SectionHeadingChar">
    <w:name w:val="Section Heading Char"/>
    <w:basedOn w:val="DefaultParagraphFont"/>
    <w:link w:val="SectionHeading"/>
    <w:rsid w:val="00D93B93"/>
    <w:rPr>
      <w:rFonts w:ascii="Times" w:eastAsia="Times New Roman" w:hAnsi="Times" w:cs="Times New Roman"/>
      <w:b/>
      <w:bCs/>
    </w:rPr>
  </w:style>
  <w:style w:type="paragraph" w:customStyle="1" w:styleId="SectionSubHeading">
    <w:name w:val="Section SubHeading"/>
    <w:basedOn w:val="SectionHeading"/>
    <w:link w:val="SectionSubHeadingChar"/>
    <w:qFormat/>
    <w:rsid w:val="00355602"/>
    <w:pPr>
      <w:spacing w:before="240"/>
      <w:ind w:left="360"/>
    </w:pPr>
    <w:rPr>
      <w:b w:val="0"/>
      <w:i/>
    </w:rPr>
  </w:style>
  <w:style w:type="character" w:customStyle="1" w:styleId="DocTitleChar">
    <w:name w:val="DocTitle Char"/>
    <w:basedOn w:val="DefaultParagraphFont"/>
    <w:link w:val="DocTitle"/>
    <w:rsid w:val="009969AE"/>
    <w:rPr>
      <w:rFonts w:ascii="Times" w:eastAsia="Times New Roman" w:hAnsi="Times" w:cs="Times New Roman"/>
      <w:b/>
      <w:bCs/>
      <w:sz w:val="28"/>
      <w:szCs w:val="28"/>
    </w:rPr>
  </w:style>
  <w:style w:type="paragraph" w:customStyle="1" w:styleId="SectionSub-SubHead">
    <w:name w:val="Section Sub-SubHead"/>
    <w:basedOn w:val="SectionSubHeading"/>
    <w:link w:val="SectionSub-SubHeadChar"/>
    <w:qFormat/>
    <w:rsid w:val="00355602"/>
    <w:pPr>
      <w:numPr>
        <w:numId w:val="24"/>
      </w:numPr>
      <w:spacing w:before="0"/>
    </w:pPr>
    <w:rPr>
      <w:i w:val="0"/>
    </w:rPr>
  </w:style>
  <w:style w:type="character" w:customStyle="1" w:styleId="SectionSubHeadingChar">
    <w:name w:val="Section SubHeading Char"/>
    <w:basedOn w:val="SectionHeadingChar"/>
    <w:link w:val="SectionSubHeading"/>
    <w:rsid w:val="00355602"/>
    <w:rPr>
      <w:rFonts w:ascii="Times" w:eastAsia="Times New Roman" w:hAnsi="Times" w:cs="Times New Roman"/>
      <w:b w:val="0"/>
      <w:bCs/>
      <w:i/>
    </w:rPr>
  </w:style>
  <w:style w:type="paragraph" w:customStyle="1" w:styleId="BestPractice">
    <w:name w:val="Best Practice"/>
    <w:basedOn w:val="Normal"/>
    <w:link w:val="BestPracticeChar"/>
    <w:qFormat/>
    <w:rsid w:val="009969AE"/>
    <w:pPr>
      <w:spacing w:after="0"/>
      <w:ind w:left="1440"/>
    </w:pPr>
    <w:rPr>
      <w:rFonts w:eastAsia="Times New Roman" w:cs="Times New Roman"/>
    </w:rPr>
  </w:style>
  <w:style w:type="character" w:customStyle="1" w:styleId="SectionSub-SubHeadChar">
    <w:name w:val="Section Sub-SubHead Char"/>
    <w:basedOn w:val="SectionSubHeadingChar"/>
    <w:link w:val="SectionSub-SubHead"/>
    <w:rsid w:val="00355602"/>
    <w:rPr>
      <w:rFonts w:ascii="Times" w:eastAsia="Times New Roman" w:hAnsi="Times" w:cs="Times New Roman"/>
      <w:b w:val="0"/>
      <w:bCs/>
      <w:i w:val="0"/>
    </w:rPr>
  </w:style>
  <w:style w:type="character" w:customStyle="1" w:styleId="BestPracticeChar">
    <w:name w:val="Best Practice Char"/>
    <w:basedOn w:val="DefaultParagraphFont"/>
    <w:link w:val="BestPractice"/>
    <w:rsid w:val="009969AE"/>
    <w:rPr>
      <w:rFonts w:ascii="Times" w:eastAsia="Times New Roman" w:hAnsi="Times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F5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67"/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67"/>
    <w:rPr>
      <w:rFonts w:ascii="Times" w:hAnsi="Time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265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265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0144E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66E4-1F52-4099-9B56-70D03C28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State College</Company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Gauffreau</dc:creator>
  <cp:lastModifiedBy>wilder</cp:lastModifiedBy>
  <cp:revision>2</cp:revision>
  <cp:lastPrinted>2015-07-21T15:34:00Z</cp:lastPrinted>
  <dcterms:created xsi:type="dcterms:W3CDTF">2015-07-22T12:27:00Z</dcterms:created>
  <dcterms:modified xsi:type="dcterms:W3CDTF">2015-07-22T12:27:00Z</dcterms:modified>
</cp:coreProperties>
</file>